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40" w:rsidRPr="008715E0" w:rsidRDefault="00807640" w:rsidP="00807640">
      <w:pPr>
        <w:rPr>
          <w:rFonts w:cs="Calibri"/>
          <w:noProof/>
          <w:color w:val="0000FF"/>
        </w:rPr>
      </w:pPr>
    </w:p>
    <w:p w:rsidR="00807640" w:rsidRDefault="00807640" w:rsidP="00445DFA">
      <w:pPr>
        <w:rPr>
          <w:b/>
          <w:sz w:val="28"/>
          <w:szCs w:val="28"/>
          <w:highlight w:val="yellow"/>
        </w:rPr>
      </w:pPr>
    </w:p>
    <w:p w:rsidR="000077D5" w:rsidRPr="007B4E50" w:rsidRDefault="006E639B">
      <w:pPr>
        <w:rPr>
          <w:b/>
          <w:sz w:val="32"/>
          <w:szCs w:val="32"/>
        </w:rPr>
      </w:pPr>
      <w:r w:rsidRPr="007B4E50">
        <w:rPr>
          <w:b/>
          <w:sz w:val="32"/>
          <w:szCs w:val="32"/>
        </w:rPr>
        <w:t>KAHPF POSITION PAPER</w:t>
      </w:r>
    </w:p>
    <w:p w:rsidR="007B4E50" w:rsidRDefault="006E639B">
      <w:pPr>
        <w:rPr>
          <w:b/>
          <w:sz w:val="32"/>
          <w:szCs w:val="32"/>
        </w:rPr>
      </w:pPr>
      <w:r w:rsidRPr="007B4E50">
        <w:rPr>
          <w:b/>
          <w:sz w:val="32"/>
          <w:szCs w:val="32"/>
        </w:rPr>
        <w:t xml:space="preserve">REFORMING THE DELIVERY OF HEALTH SERVICES </w:t>
      </w:r>
    </w:p>
    <w:p w:rsidR="006E639B" w:rsidRDefault="006E639B">
      <w:pPr>
        <w:rPr>
          <w:b/>
          <w:sz w:val="32"/>
          <w:szCs w:val="32"/>
        </w:rPr>
      </w:pPr>
      <w:r w:rsidRPr="007B4E50">
        <w:rPr>
          <w:b/>
          <w:sz w:val="32"/>
          <w:szCs w:val="32"/>
        </w:rPr>
        <w:t>IN/TO REMOTE COMMUNITIES</w:t>
      </w:r>
    </w:p>
    <w:p w:rsidR="000D20FC" w:rsidRPr="007B4E50" w:rsidRDefault="000D20FC">
      <w:pPr>
        <w:rPr>
          <w:b/>
          <w:sz w:val="32"/>
          <w:szCs w:val="32"/>
        </w:rPr>
      </w:pPr>
      <w:r>
        <w:rPr>
          <w:b/>
          <w:sz w:val="32"/>
          <w:szCs w:val="32"/>
        </w:rPr>
        <w:t>July 2016</w:t>
      </w:r>
      <w:bookmarkStart w:id="0" w:name="_GoBack"/>
      <w:bookmarkEnd w:id="0"/>
    </w:p>
    <w:p w:rsidR="00334378" w:rsidRDefault="00334378" w:rsidP="00443F6C">
      <w:pPr>
        <w:autoSpaceDE w:val="0"/>
        <w:autoSpaceDN w:val="0"/>
        <w:adjustRightInd w:val="0"/>
        <w:jc w:val="both"/>
        <w:rPr>
          <w:rFonts w:cs="TTE2228400t00"/>
          <w:b/>
          <w:sz w:val="28"/>
          <w:szCs w:val="28"/>
          <w:lang w:eastAsia="en-AU"/>
        </w:rPr>
      </w:pPr>
    </w:p>
    <w:p w:rsidR="00443F6C" w:rsidRPr="00A86026" w:rsidRDefault="00443F6C" w:rsidP="00443F6C">
      <w:pPr>
        <w:autoSpaceDE w:val="0"/>
        <w:autoSpaceDN w:val="0"/>
        <w:adjustRightInd w:val="0"/>
        <w:jc w:val="both"/>
        <w:rPr>
          <w:rFonts w:cs="TTE2228400t00"/>
          <w:b/>
          <w:color w:val="1F4E79" w:themeColor="accent1" w:themeShade="80"/>
          <w:sz w:val="28"/>
          <w:szCs w:val="28"/>
          <w:lang w:eastAsia="en-AU"/>
        </w:rPr>
      </w:pPr>
      <w:r w:rsidRPr="00A86026">
        <w:rPr>
          <w:rFonts w:cs="TTE2228400t00"/>
          <w:b/>
          <w:color w:val="1F4E79" w:themeColor="accent1" w:themeShade="80"/>
          <w:sz w:val="28"/>
          <w:szCs w:val="28"/>
          <w:lang w:eastAsia="en-AU"/>
        </w:rPr>
        <w:t>INTRODUCTION</w:t>
      </w:r>
    </w:p>
    <w:p w:rsidR="00443F6C" w:rsidRPr="00043995" w:rsidRDefault="00443F6C" w:rsidP="00443F6C">
      <w:pPr>
        <w:jc w:val="left"/>
        <w:rPr>
          <w:sz w:val="20"/>
          <w:szCs w:val="20"/>
        </w:rPr>
      </w:pPr>
    </w:p>
    <w:p w:rsidR="00443F6C" w:rsidRDefault="00443F6C" w:rsidP="00443F6C">
      <w:pPr>
        <w:jc w:val="left"/>
        <w:rPr>
          <w:sz w:val="24"/>
          <w:szCs w:val="24"/>
        </w:rPr>
      </w:pPr>
      <w:r>
        <w:rPr>
          <w:sz w:val="24"/>
          <w:szCs w:val="24"/>
        </w:rPr>
        <w:t xml:space="preserve">As the draft Kimberley Development Commission document </w:t>
      </w:r>
      <w:r w:rsidRPr="00443F6C">
        <w:rPr>
          <w:i/>
          <w:sz w:val="24"/>
          <w:szCs w:val="24"/>
        </w:rPr>
        <w:t>2036 and beyond: a regional Blueprint for the Kimberley</w:t>
      </w:r>
      <w:r>
        <w:rPr>
          <w:rStyle w:val="FootnoteReference"/>
          <w:i/>
          <w:sz w:val="24"/>
          <w:szCs w:val="24"/>
        </w:rPr>
        <w:footnoteReference w:id="1"/>
      </w:r>
      <w:r>
        <w:rPr>
          <w:i/>
          <w:sz w:val="24"/>
          <w:szCs w:val="24"/>
        </w:rPr>
        <w:t xml:space="preserve"> </w:t>
      </w:r>
      <w:r w:rsidRPr="00443F6C">
        <w:rPr>
          <w:sz w:val="24"/>
          <w:szCs w:val="24"/>
        </w:rPr>
        <w:t>notes</w:t>
      </w:r>
      <w:r w:rsidR="00334378">
        <w:rPr>
          <w:sz w:val="24"/>
          <w:szCs w:val="24"/>
        </w:rPr>
        <w:t>:</w:t>
      </w:r>
    </w:p>
    <w:p w:rsidR="00445DFA" w:rsidRPr="00445DFA" w:rsidRDefault="00445DFA" w:rsidP="00443F6C">
      <w:pPr>
        <w:jc w:val="left"/>
        <w:rPr>
          <w:sz w:val="16"/>
          <w:szCs w:val="16"/>
        </w:rPr>
      </w:pPr>
    </w:p>
    <w:p w:rsidR="008D5CCC" w:rsidRPr="00443F6C" w:rsidRDefault="00443F6C" w:rsidP="00443F6C">
      <w:pPr>
        <w:ind w:left="720"/>
        <w:jc w:val="left"/>
      </w:pPr>
      <w:r>
        <w:rPr>
          <w:sz w:val="24"/>
          <w:szCs w:val="24"/>
        </w:rPr>
        <w:t xml:space="preserve"> </w:t>
      </w:r>
      <w:r w:rsidRPr="00443F6C">
        <w:rPr>
          <w:color w:val="323E4F" w:themeColor="text2" w:themeShade="BF"/>
        </w:rPr>
        <w:t>T</w:t>
      </w:r>
      <w:r w:rsidR="008D5CCC" w:rsidRPr="00443F6C">
        <w:rPr>
          <w:color w:val="323E4F" w:themeColor="text2" w:themeShade="BF"/>
        </w:rPr>
        <w:t>he health and wellbeing of the Kimberley population is a primary determinant of quality of life and a major</w:t>
      </w:r>
      <w:r w:rsidRPr="00443F6C">
        <w:rPr>
          <w:color w:val="323E4F" w:themeColor="text2" w:themeShade="BF"/>
        </w:rPr>
        <w:t xml:space="preserve"> </w:t>
      </w:r>
      <w:r w:rsidR="008D5CCC" w:rsidRPr="00443F6C">
        <w:rPr>
          <w:color w:val="323E4F" w:themeColor="text2" w:themeShade="BF"/>
        </w:rPr>
        <w:t>determinant of productivity and participation in all areas. The Kimberley faces special challenges in the area of</w:t>
      </w:r>
      <w:r w:rsidRPr="00443F6C">
        <w:rPr>
          <w:color w:val="323E4F" w:themeColor="text2" w:themeShade="BF"/>
        </w:rPr>
        <w:t xml:space="preserve"> </w:t>
      </w:r>
      <w:r w:rsidR="008D5CCC" w:rsidRPr="00443F6C">
        <w:rPr>
          <w:color w:val="323E4F" w:themeColor="text2" w:themeShade="BF"/>
        </w:rPr>
        <w:t>improving the health and wellbeing of its population, especially that of its Aboriginal people.</w:t>
      </w:r>
      <w:r w:rsidRPr="00443F6C">
        <w:rPr>
          <w:color w:val="323E4F" w:themeColor="text2" w:themeShade="BF"/>
        </w:rPr>
        <w:t xml:space="preserve"> </w:t>
      </w:r>
      <w:r w:rsidR="008D5CCC" w:rsidRPr="00443F6C">
        <w:rPr>
          <w:color w:val="323E4F" w:themeColor="text2" w:themeShade="BF"/>
        </w:rPr>
        <w:t>The major drivers of poor health and wellbeing outcomes in the region are socio-economic disadvantage and</w:t>
      </w:r>
      <w:r w:rsidRPr="00443F6C">
        <w:rPr>
          <w:color w:val="323E4F" w:themeColor="text2" w:themeShade="BF"/>
        </w:rPr>
        <w:t xml:space="preserve"> </w:t>
      </w:r>
      <w:r w:rsidR="008D5CCC" w:rsidRPr="00443F6C">
        <w:rPr>
          <w:color w:val="323E4F" w:themeColor="text2" w:themeShade="BF"/>
        </w:rPr>
        <w:t>associated lifestyle behaviours. Census data shows persuasive correlations between relative socio-economic</w:t>
      </w:r>
      <w:r w:rsidRPr="00443F6C">
        <w:rPr>
          <w:color w:val="323E4F" w:themeColor="text2" w:themeShade="BF"/>
        </w:rPr>
        <w:t xml:space="preserve"> </w:t>
      </w:r>
      <w:r w:rsidR="008D5CCC" w:rsidRPr="00443F6C">
        <w:rPr>
          <w:color w:val="323E4F" w:themeColor="text2" w:themeShade="BF"/>
        </w:rPr>
        <w:t>disadvantage and low health and wellbeing outcomes. Addressing the health and wellbeing challenges in the region</w:t>
      </w:r>
      <w:r w:rsidRPr="00443F6C">
        <w:rPr>
          <w:color w:val="323E4F" w:themeColor="text2" w:themeShade="BF"/>
        </w:rPr>
        <w:t xml:space="preserve"> </w:t>
      </w:r>
      <w:r w:rsidR="008D5CCC" w:rsidRPr="00443F6C">
        <w:rPr>
          <w:color w:val="323E4F" w:themeColor="text2" w:themeShade="BF"/>
        </w:rPr>
        <w:t>is therefore closely associated with enabling the region’s economic and social development.</w:t>
      </w:r>
    </w:p>
    <w:p w:rsidR="00093E12" w:rsidRDefault="00093E12" w:rsidP="006E639B">
      <w:pPr>
        <w:autoSpaceDE w:val="0"/>
        <w:autoSpaceDN w:val="0"/>
        <w:adjustRightInd w:val="0"/>
        <w:jc w:val="both"/>
        <w:rPr>
          <w:rFonts w:cs="TTE2228400t00"/>
          <w:sz w:val="24"/>
          <w:szCs w:val="24"/>
          <w:lang w:eastAsia="en-AU"/>
        </w:rPr>
      </w:pPr>
    </w:p>
    <w:p w:rsidR="00353EA4" w:rsidRDefault="001B3E1F" w:rsidP="001B3E1F">
      <w:pPr>
        <w:autoSpaceDE w:val="0"/>
        <w:autoSpaceDN w:val="0"/>
        <w:adjustRightInd w:val="0"/>
        <w:jc w:val="left"/>
        <w:rPr>
          <w:rFonts w:cs="TTE2228400t00"/>
          <w:sz w:val="24"/>
          <w:szCs w:val="24"/>
          <w:lang w:eastAsia="en-AU"/>
        </w:rPr>
      </w:pPr>
      <w:r w:rsidRPr="0031313D">
        <w:rPr>
          <w:sz w:val="24"/>
          <w:szCs w:val="24"/>
        </w:rPr>
        <w:t xml:space="preserve">The Kimberley Aboriginal Health Planning Forum (KAHPF) is an inter-agency group of Kimberley health service providers focussed on improving the planning, coordination and delivery of primary health services to achieve better outcomes for Aboriginal people in the region. Membership includes the Kimberley Aboriginal Medical Services, Aboriginal Community Controlled Health Services from across the region, Alcohol and Drug Services from the region, </w:t>
      </w:r>
      <w:r w:rsidR="00194988" w:rsidRPr="00AC6A33">
        <w:rPr>
          <w:sz w:val="24"/>
          <w:szCs w:val="24"/>
        </w:rPr>
        <w:t xml:space="preserve">WA Country Health Service including </w:t>
      </w:r>
      <w:r w:rsidRPr="00AC6A33">
        <w:rPr>
          <w:sz w:val="24"/>
          <w:szCs w:val="24"/>
        </w:rPr>
        <w:t>Kimberley Population Health Unit and Kimberley Mental Health and Drug Service</w:t>
      </w:r>
      <w:r w:rsidR="00194988" w:rsidRPr="00AC6A33">
        <w:rPr>
          <w:sz w:val="24"/>
          <w:szCs w:val="24"/>
        </w:rPr>
        <w:t>, the RFDS and Boab Health</w:t>
      </w:r>
      <w:r w:rsidR="00353EA4" w:rsidRPr="00AC6A33">
        <w:rPr>
          <w:sz w:val="24"/>
          <w:szCs w:val="24"/>
        </w:rPr>
        <w:t>.</w:t>
      </w:r>
      <w:r w:rsidR="00353EA4">
        <w:rPr>
          <w:sz w:val="24"/>
          <w:szCs w:val="24"/>
        </w:rPr>
        <w:t xml:space="preserve"> </w:t>
      </w:r>
      <w:r w:rsidR="00353EA4">
        <w:rPr>
          <w:rFonts w:cs="TTE2228400t00"/>
          <w:sz w:val="24"/>
          <w:szCs w:val="24"/>
          <w:lang w:eastAsia="en-AU"/>
        </w:rPr>
        <w:t>KAHPF</w:t>
      </w:r>
      <w:r w:rsidR="00353EA4" w:rsidRPr="00CA0079">
        <w:rPr>
          <w:rFonts w:cs="TTE2228400t00"/>
          <w:sz w:val="24"/>
          <w:szCs w:val="24"/>
          <w:lang w:eastAsia="en-AU"/>
        </w:rPr>
        <w:t xml:space="preserve"> has been </w:t>
      </w:r>
      <w:r w:rsidR="00353EA4">
        <w:rPr>
          <w:rFonts w:cs="TTE2228400t00"/>
          <w:sz w:val="24"/>
          <w:szCs w:val="24"/>
          <w:lang w:eastAsia="en-AU"/>
        </w:rPr>
        <w:t>meeting</w:t>
      </w:r>
      <w:r w:rsidR="00353EA4" w:rsidRPr="00CA0079">
        <w:rPr>
          <w:rFonts w:cs="TTE2228400t00"/>
          <w:sz w:val="24"/>
          <w:szCs w:val="24"/>
          <w:lang w:eastAsia="en-AU"/>
        </w:rPr>
        <w:t xml:space="preserve"> to coordinate health service delivery across the Kimberley for the past 20 years.  </w:t>
      </w:r>
      <w:r w:rsidRPr="0031313D">
        <w:rPr>
          <w:sz w:val="24"/>
          <w:szCs w:val="24"/>
        </w:rPr>
        <w:t>In 2012, all members endorsed the Kimberley Aboriginal Primary Health Plan 2012-2015</w:t>
      </w:r>
      <w:r w:rsidRPr="0031313D">
        <w:rPr>
          <w:rStyle w:val="FootnoteReference"/>
          <w:sz w:val="24"/>
          <w:szCs w:val="24"/>
        </w:rPr>
        <w:footnoteReference w:id="2"/>
      </w:r>
      <w:r w:rsidRPr="0031313D">
        <w:rPr>
          <w:sz w:val="24"/>
          <w:szCs w:val="24"/>
        </w:rPr>
        <w:t>.</w:t>
      </w:r>
      <w:r>
        <w:rPr>
          <w:sz w:val="24"/>
          <w:szCs w:val="24"/>
        </w:rPr>
        <w:t xml:space="preserve">  </w:t>
      </w:r>
    </w:p>
    <w:p w:rsidR="001B3E1F" w:rsidRDefault="001B3E1F" w:rsidP="006E639B">
      <w:pPr>
        <w:autoSpaceDE w:val="0"/>
        <w:autoSpaceDN w:val="0"/>
        <w:adjustRightInd w:val="0"/>
        <w:jc w:val="both"/>
        <w:rPr>
          <w:rFonts w:cs="TTE2228400t00"/>
          <w:sz w:val="24"/>
          <w:szCs w:val="24"/>
          <w:lang w:eastAsia="en-AU"/>
        </w:rPr>
      </w:pPr>
    </w:p>
    <w:p w:rsidR="001B3E1F" w:rsidRPr="0016120F" w:rsidRDefault="00334378" w:rsidP="001B3E1F">
      <w:pPr>
        <w:autoSpaceDE w:val="0"/>
        <w:autoSpaceDN w:val="0"/>
        <w:adjustRightInd w:val="0"/>
        <w:jc w:val="left"/>
        <w:rPr>
          <w:rFonts w:cs="TTE2228400t00"/>
          <w:sz w:val="24"/>
          <w:szCs w:val="24"/>
          <w:lang w:eastAsia="en-AU"/>
        </w:rPr>
      </w:pPr>
      <w:r>
        <w:rPr>
          <w:rFonts w:cs="TTE2228400t00"/>
          <w:sz w:val="24"/>
          <w:szCs w:val="24"/>
          <w:lang w:eastAsia="en-AU"/>
        </w:rPr>
        <w:t>KAHPF welcomes the opportunity to</w:t>
      </w:r>
      <w:r w:rsidR="00756369">
        <w:rPr>
          <w:rFonts w:cs="TTE2228400t00"/>
          <w:sz w:val="24"/>
          <w:szCs w:val="24"/>
          <w:lang w:eastAsia="en-AU"/>
        </w:rPr>
        <w:t xml:space="preserve"> support the WA Government’s reform of the way</w:t>
      </w:r>
      <w:r w:rsidR="001B3E1F">
        <w:rPr>
          <w:rFonts w:cs="TTE2228400t00"/>
          <w:sz w:val="24"/>
          <w:szCs w:val="24"/>
          <w:lang w:eastAsia="en-AU"/>
        </w:rPr>
        <w:t xml:space="preserve"> health</w:t>
      </w:r>
      <w:r w:rsidR="00756369">
        <w:rPr>
          <w:rFonts w:cs="TTE2228400t00"/>
          <w:sz w:val="24"/>
          <w:szCs w:val="24"/>
          <w:lang w:eastAsia="en-AU"/>
        </w:rPr>
        <w:t xml:space="preserve"> services are delivered to Aboriginal people living in remote communities in the Kimberley region</w:t>
      </w:r>
      <w:r w:rsidR="001B3E1F">
        <w:rPr>
          <w:rFonts w:cs="TTE2228400t00"/>
          <w:sz w:val="24"/>
          <w:szCs w:val="24"/>
          <w:lang w:eastAsia="en-AU"/>
        </w:rPr>
        <w:t>.  This paper,</w:t>
      </w:r>
      <w:r w:rsidR="00756369">
        <w:rPr>
          <w:rFonts w:cs="TTE2228400t00"/>
          <w:sz w:val="24"/>
          <w:szCs w:val="24"/>
          <w:lang w:eastAsia="en-AU"/>
        </w:rPr>
        <w:t xml:space="preserve"> </w:t>
      </w:r>
      <w:r w:rsidR="001B3E1F">
        <w:rPr>
          <w:rFonts w:cs="TTE2228400t00"/>
          <w:sz w:val="24"/>
          <w:szCs w:val="24"/>
          <w:lang w:eastAsia="en-AU"/>
        </w:rPr>
        <w:t>which has been endorsed by KAHPF,</w:t>
      </w:r>
      <w:r w:rsidR="00756369">
        <w:rPr>
          <w:rFonts w:cs="TTE2228400t00"/>
          <w:sz w:val="24"/>
          <w:szCs w:val="24"/>
          <w:lang w:eastAsia="en-AU"/>
        </w:rPr>
        <w:t xml:space="preserve"> </w:t>
      </w:r>
      <w:r>
        <w:rPr>
          <w:rFonts w:cs="TTE2228400t00"/>
          <w:sz w:val="24"/>
          <w:szCs w:val="24"/>
          <w:lang w:eastAsia="en-AU"/>
        </w:rPr>
        <w:t>provid</w:t>
      </w:r>
      <w:r w:rsidR="001B3E1F">
        <w:rPr>
          <w:rFonts w:cs="TTE2228400t00"/>
          <w:sz w:val="24"/>
          <w:szCs w:val="24"/>
          <w:lang w:eastAsia="en-AU"/>
        </w:rPr>
        <w:t>es</w:t>
      </w:r>
      <w:r>
        <w:rPr>
          <w:rFonts w:cs="TTE2228400t00"/>
          <w:sz w:val="24"/>
          <w:szCs w:val="24"/>
          <w:lang w:eastAsia="en-AU"/>
        </w:rPr>
        <w:t xml:space="preserve"> member’s perspective on how better health outcomes can be achieved</w:t>
      </w:r>
      <w:r w:rsidR="00756369">
        <w:rPr>
          <w:rFonts w:cs="TTE2228400t00"/>
          <w:sz w:val="24"/>
          <w:szCs w:val="24"/>
          <w:lang w:eastAsia="en-AU"/>
        </w:rPr>
        <w:t>.</w:t>
      </w:r>
      <w:r>
        <w:rPr>
          <w:rFonts w:cs="TTE2228400t00"/>
          <w:sz w:val="24"/>
          <w:szCs w:val="24"/>
          <w:lang w:eastAsia="en-AU"/>
        </w:rPr>
        <w:t xml:space="preserve"> </w:t>
      </w:r>
      <w:r w:rsidR="001B3E1F">
        <w:rPr>
          <w:rFonts w:cs="TTE2228400t00"/>
          <w:sz w:val="24"/>
          <w:szCs w:val="24"/>
          <w:lang w:eastAsia="en-AU"/>
        </w:rPr>
        <w:t>It</w:t>
      </w:r>
      <w:r w:rsidR="001B3E1F" w:rsidRPr="0016120F">
        <w:rPr>
          <w:rFonts w:cs="TTE2228400t00"/>
          <w:sz w:val="24"/>
          <w:szCs w:val="24"/>
          <w:lang w:eastAsia="en-AU"/>
        </w:rPr>
        <w:t xml:space="preserve"> suggests some immediate and longer term measures the WA Government could take to address these matters.</w:t>
      </w:r>
    </w:p>
    <w:p w:rsidR="009432E6" w:rsidRDefault="009432E6" w:rsidP="00334378">
      <w:pPr>
        <w:autoSpaceDE w:val="0"/>
        <w:autoSpaceDN w:val="0"/>
        <w:adjustRightInd w:val="0"/>
        <w:jc w:val="left"/>
        <w:rPr>
          <w:rFonts w:cs="TTE2228400t00"/>
          <w:sz w:val="24"/>
          <w:szCs w:val="24"/>
          <w:lang w:eastAsia="en-AU"/>
        </w:rPr>
      </w:pPr>
    </w:p>
    <w:p w:rsidR="008564A8" w:rsidRPr="008564A8" w:rsidRDefault="00334378" w:rsidP="00334378">
      <w:pPr>
        <w:autoSpaceDE w:val="0"/>
        <w:autoSpaceDN w:val="0"/>
        <w:adjustRightInd w:val="0"/>
        <w:jc w:val="left"/>
        <w:rPr>
          <w:rFonts w:cs="TTE2228400t00"/>
          <w:sz w:val="24"/>
          <w:szCs w:val="24"/>
          <w:lang w:eastAsia="en-AU"/>
        </w:rPr>
      </w:pPr>
      <w:r>
        <w:rPr>
          <w:rFonts w:cs="TTE2228400t00"/>
          <w:sz w:val="24"/>
          <w:szCs w:val="24"/>
          <w:lang w:eastAsia="en-AU"/>
        </w:rPr>
        <w:t>The</w:t>
      </w:r>
      <w:r w:rsidR="008564A8" w:rsidRPr="008564A8">
        <w:rPr>
          <w:rFonts w:cs="TTE2228400t00"/>
          <w:sz w:val="24"/>
          <w:szCs w:val="24"/>
          <w:lang w:eastAsia="en-AU"/>
        </w:rPr>
        <w:t xml:space="preserve"> paper</w:t>
      </w:r>
      <w:r w:rsidR="00E33BBC">
        <w:rPr>
          <w:rFonts w:cs="TTE2228400t00"/>
          <w:sz w:val="24"/>
          <w:szCs w:val="24"/>
          <w:lang w:eastAsia="en-AU"/>
        </w:rPr>
        <w:t xml:space="preserve"> is based on the </w:t>
      </w:r>
      <w:r w:rsidR="009C7F93">
        <w:rPr>
          <w:rFonts w:cs="TTE2228400t00"/>
          <w:sz w:val="24"/>
          <w:szCs w:val="24"/>
          <w:lang w:eastAsia="en-AU"/>
        </w:rPr>
        <w:t xml:space="preserve">position </w:t>
      </w:r>
      <w:r w:rsidR="00E33BBC">
        <w:rPr>
          <w:rFonts w:cs="TTE2228400t00"/>
          <w:sz w:val="24"/>
          <w:szCs w:val="24"/>
          <w:lang w:eastAsia="en-AU"/>
        </w:rPr>
        <w:t xml:space="preserve">that Aboriginal people in the Kimberley are entitled to </w:t>
      </w:r>
      <w:r w:rsidR="00F50494">
        <w:rPr>
          <w:rFonts w:cs="TTE2228400t00"/>
          <w:sz w:val="24"/>
          <w:szCs w:val="24"/>
          <w:lang w:eastAsia="en-AU"/>
        </w:rPr>
        <w:t>an</w:t>
      </w:r>
      <w:r w:rsidR="00E33BBC">
        <w:rPr>
          <w:rFonts w:cs="TTE2228400t00"/>
          <w:sz w:val="24"/>
          <w:szCs w:val="24"/>
          <w:lang w:eastAsia="en-AU"/>
        </w:rPr>
        <w:t xml:space="preserve"> </w:t>
      </w:r>
      <w:r w:rsidR="00F50494">
        <w:rPr>
          <w:rFonts w:cs="TTE2228400t00"/>
          <w:sz w:val="24"/>
          <w:szCs w:val="24"/>
          <w:lang w:eastAsia="en-AU"/>
        </w:rPr>
        <w:t>equivalent</w:t>
      </w:r>
      <w:r w:rsidR="00E33BBC">
        <w:rPr>
          <w:rFonts w:cs="TTE2228400t00"/>
          <w:sz w:val="24"/>
          <w:szCs w:val="24"/>
          <w:lang w:eastAsia="en-AU"/>
        </w:rPr>
        <w:t xml:space="preserve"> level of </w:t>
      </w:r>
      <w:r w:rsidR="00E053E9">
        <w:rPr>
          <w:rFonts w:cs="TTE2228400t00"/>
          <w:sz w:val="24"/>
          <w:szCs w:val="24"/>
          <w:lang w:eastAsia="en-AU"/>
        </w:rPr>
        <w:t>access to health and social care</w:t>
      </w:r>
      <w:r w:rsidR="00E33BBC">
        <w:rPr>
          <w:rFonts w:cs="TTE2228400t00"/>
          <w:sz w:val="24"/>
          <w:szCs w:val="24"/>
          <w:lang w:eastAsia="en-AU"/>
        </w:rPr>
        <w:t xml:space="preserve"> as non-Aboriginal residents of metropolitan Perth.  </w:t>
      </w:r>
      <w:r>
        <w:rPr>
          <w:rFonts w:cs="TTE2228400t00"/>
          <w:sz w:val="24"/>
          <w:szCs w:val="24"/>
          <w:lang w:eastAsia="en-AU"/>
        </w:rPr>
        <w:t>To achieve this KAHPF</w:t>
      </w:r>
      <w:r w:rsidR="00E33BBC">
        <w:rPr>
          <w:rFonts w:cs="TTE2228400t00"/>
          <w:sz w:val="24"/>
          <w:szCs w:val="24"/>
          <w:lang w:eastAsia="en-AU"/>
        </w:rPr>
        <w:t xml:space="preserve"> </w:t>
      </w:r>
      <w:r w:rsidR="008564A8" w:rsidRPr="008564A8">
        <w:rPr>
          <w:rFonts w:cs="TTE2228400t00"/>
          <w:sz w:val="24"/>
          <w:szCs w:val="24"/>
          <w:lang w:eastAsia="en-AU"/>
        </w:rPr>
        <w:t>argues strongly for an increased investment in:</w:t>
      </w:r>
    </w:p>
    <w:p w:rsidR="008564A8" w:rsidRPr="007B4E50" w:rsidRDefault="008564A8" w:rsidP="00A925EC">
      <w:pPr>
        <w:pStyle w:val="ListParagraph"/>
        <w:numPr>
          <w:ilvl w:val="0"/>
          <w:numId w:val="2"/>
        </w:numPr>
        <w:autoSpaceDE w:val="0"/>
        <w:autoSpaceDN w:val="0"/>
        <w:adjustRightInd w:val="0"/>
        <w:rPr>
          <w:rFonts w:asciiTheme="minorHAnsi" w:hAnsiTheme="minorHAnsi" w:cs="TTE2228400t00"/>
          <w:lang w:eastAsia="en-AU"/>
        </w:rPr>
      </w:pPr>
      <w:r w:rsidRPr="007B4E50">
        <w:rPr>
          <w:rFonts w:asciiTheme="minorHAnsi" w:hAnsiTheme="minorHAnsi" w:cs="TTE2228400t00"/>
          <w:lang w:eastAsia="en-AU"/>
        </w:rPr>
        <w:t>Health promotion, primary prevention, enhanced</w:t>
      </w:r>
      <w:r w:rsidR="00A925EC" w:rsidRPr="007B4E50">
        <w:rPr>
          <w:rFonts w:asciiTheme="minorHAnsi" w:hAnsiTheme="minorHAnsi" w:cs="TTE2228400t00"/>
          <w:lang w:eastAsia="en-AU"/>
        </w:rPr>
        <w:t xml:space="preserve"> support for self-</w:t>
      </w:r>
      <w:r w:rsidRPr="007B4E50">
        <w:rPr>
          <w:rFonts w:asciiTheme="minorHAnsi" w:hAnsiTheme="minorHAnsi" w:cs="TTE2228400t00"/>
          <w:lang w:eastAsia="en-AU"/>
        </w:rPr>
        <w:t>management and</w:t>
      </w:r>
      <w:r w:rsidR="009C7F93" w:rsidRPr="007B4E50">
        <w:rPr>
          <w:rFonts w:asciiTheme="minorHAnsi" w:hAnsiTheme="minorHAnsi" w:cs="TTE2228400t00"/>
          <w:lang w:eastAsia="en-AU"/>
        </w:rPr>
        <w:t xml:space="preserve"> comprehensive primary health care that reduces </w:t>
      </w:r>
      <w:r w:rsidR="00E053E9">
        <w:rPr>
          <w:rFonts w:asciiTheme="minorHAnsi" w:hAnsiTheme="minorHAnsi" w:cs="TTE2228400t00"/>
          <w:lang w:eastAsia="en-AU"/>
        </w:rPr>
        <w:t xml:space="preserve">the need for health care and </w:t>
      </w:r>
      <w:r w:rsidR="009C7F93" w:rsidRPr="007B4E50">
        <w:rPr>
          <w:rFonts w:asciiTheme="minorHAnsi" w:hAnsiTheme="minorHAnsi" w:cs="TTE2228400t00"/>
          <w:lang w:eastAsia="en-AU"/>
        </w:rPr>
        <w:t>unnecessary demand on hospitals and referrals outside the Kimberley</w:t>
      </w:r>
      <w:r w:rsidR="00F267EF">
        <w:rPr>
          <w:rFonts w:asciiTheme="minorHAnsi" w:hAnsiTheme="minorHAnsi" w:cs="TTE2228400t00"/>
          <w:lang w:eastAsia="en-AU"/>
        </w:rPr>
        <w:t>.</w:t>
      </w:r>
    </w:p>
    <w:p w:rsidR="0016120F" w:rsidRDefault="00D1590C" w:rsidP="0030690F">
      <w:pPr>
        <w:pStyle w:val="ListParagraph"/>
        <w:numPr>
          <w:ilvl w:val="0"/>
          <w:numId w:val="2"/>
        </w:numPr>
        <w:autoSpaceDE w:val="0"/>
        <w:autoSpaceDN w:val="0"/>
        <w:adjustRightInd w:val="0"/>
        <w:rPr>
          <w:rFonts w:asciiTheme="minorHAnsi" w:hAnsiTheme="minorHAnsi" w:cs="TTE2228400t00"/>
          <w:lang w:eastAsia="en-AU"/>
        </w:rPr>
      </w:pPr>
      <w:r w:rsidRPr="00445DFA">
        <w:rPr>
          <w:rFonts w:asciiTheme="minorHAnsi" w:hAnsiTheme="minorHAnsi" w:cs="TTE2228400t00"/>
          <w:lang w:eastAsia="en-AU"/>
        </w:rPr>
        <w:lastRenderedPageBreak/>
        <w:t xml:space="preserve">Actions </w:t>
      </w:r>
      <w:r w:rsidR="008564A8" w:rsidRPr="00445DFA">
        <w:rPr>
          <w:rFonts w:asciiTheme="minorHAnsi" w:hAnsiTheme="minorHAnsi" w:cs="TTE2228400t00"/>
          <w:lang w:eastAsia="en-AU"/>
        </w:rPr>
        <w:t>which address the social determinants of health</w:t>
      </w:r>
      <w:r w:rsidRPr="00445DFA">
        <w:rPr>
          <w:rFonts w:asciiTheme="minorHAnsi" w:hAnsiTheme="minorHAnsi" w:cs="TTE2228400t00"/>
          <w:lang w:eastAsia="en-AU"/>
        </w:rPr>
        <w:t>,</w:t>
      </w:r>
      <w:r w:rsidR="008564A8" w:rsidRPr="00445DFA">
        <w:rPr>
          <w:rFonts w:asciiTheme="minorHAnsi" w:hAnsiTheme="minorHAnsi" w:cs="TTE2228400t00"/>
          <w:lang w:eastAsia="en-AU"/>
        </w:rPr>
        <w:t xml:space="preserve"> particularly improving environmental health conditions</w:t>
      </w:r>
      <w:r w:rsidR="00067197" w:rsidRPr="00445DFA">
        <w:rPr>
          <w:rFonts w:asciiTheme="minorHAnsi" w:hAnsiTheme="minorHAnsi" w:cs="TTE2228400t00"/>
          <w:lang w:eastAsia="en-AU"/>
        </w:rPr>
        <w:t>, addressing food security</w:t>
      </w:r>
      <w:r w:rsidR="0016120F" w:rsidRPr="00445DFA">
        <w:rPr>
          <w:rFonts w:asciiTheme="minorHAnsi" w:hAnsiTheme="minorHAnsi" w:cs="TTE2228400t00"/>
          <w:lang w:eastAsia="en-AU"/>
        </w:rPr>
        <w:t xml:space="preserve"> and reducing overcrowding</w:t>
      </w:r>
      <w:r w:rsidR="00E053E9">
        <w:rPr>
          <w:rFonts w:asciiTheme="minorHAnsi" w:hAnsiTheme="minorHAnsi" w:cs="TTE2228400t00"/>
          <w:lang w:eastAsia="en-AU"/>
        </w:rPr>
        <w:t xml:space="preserve"> </w:t>
      </w:r>
      <w:r w:rsidR="00AC6A33">
        <w:rPr>
          <w:rFonts w:asciiTheme="minorHAnsi" w:hAnsiTheme="minorHAnsi" w:cs="TTE2228400t00"/>
          <w:lang w:eastAsia="en-AU"/>
        </w:rPr>
        <w:t>thereby</w:t>
      </w:r>
      <w:r w:rsidR="00E053E9">
        <w:rPr>
          <w:rFonts w:asciiTheme="minorHAnsi" w:hAnsiTheme="minorHAnsi" w:cs="TTE2228400t00"/>
          <w:lang w:eastAsia="en-AU"/>
        </w:rPr>
        <w:t xml:space="preserve"> contributing to better economic and social participation</w:t>
      </w:r>
      <w:r w:rsidR="0016120F" w:rsidRPr="00445DFA">
        <w:rPr>
          <w:rFonts w:asciiTheme="minorHAnsi" w:hAnsiTheme="minorHAnsi" w:cs="TTE2228400t00"/>
          <w:lang w:eastAsia="en-AU"/>
        </w:rPr>
        <w:t>.</w:t>
      </w:r>
    </w:p>
    <w:p w:rsidR="00F267EF" w:rsidRPr="00445DFA" w:rsidRDefault="00F267EF" w:rsidP="0030690F">
      <w:pPr>
        <w:pStyle w:val="ListParagraph"/>
        <w:numPr>
          <w:ilvl w:val="0"/>
          <w:numId w:val="2"/>
        </w:numPr>
        <w:autoSpaceDE w:val="0"/>
        <w:autoSpaceDN w:val="0"/>
        <w:adjustRightInd w:val="0"/>
        <w:rPr>
          <w:rFonts w:asciiTheme="minorHAnsi" w:hAnsiTheme="minorHAnsi" w:cs="TTE2228400t00"/>
          <w:lang w:eastAsia="en-AU"/>
        </w:rPr>
      </w:pPr>
      <w:r>
        <w:rPr>
          <w:rFonts w:asciiTheme="minorHAnsi" w:hAnsiTheme="minorHAnsi" w:cs="TTE2228400t00"/>
          <w:lang w:eastAsia="en-AU"/>
        </w:rPr>
        <w:t>Additional support to enable remote communities to address drug and alcohol issues.</w:t>
      </w:r>
    </w:p>
    <w:p w:rsidR="001F60BE" w:rsidRPr="0000527B" w:rsidRDefault="0000527B" w:rsidP="00445DFA">
      <w:pPr>
        <w:numPr>
          <w:ilvl w:val="0"/>
          <w:numId w:val="2"/>
        </w:numPr>
        <w:jc w:val="left"/>
        <w:rPr>
          <w:rFonts w:cs="Calibri"/>
          <w:noProof/>
          <w:sz w:val="24"/>
          <w:szCs w:val="24"/>
        </w:rPr>
      </w:pPr>
      <w:r>
        <w:rPr>
          <w:rFonts w:cs="Calibri"/>
          <w:noProof/>
          <w:sz w:val="24"/>
          <w:szCs w:val="24"/>
        </w:rPr>
        <w:t xml:space="preserve">Increasing the </w:t>
      </w:r>
      <w:r w:rsidR="00445DFA" w:rsidRPr="0000527B">
        <w:rPr>
          <w:rFonts w:cs="Calibri"/>
          <w:noProof/>
          <w:sz w:val="24"/>
          <w:szCs w:val="24"/>
        </w:rPr>
        <w:t xml:space="preserve">involvement of Aboriginal </w:t>
      </w:r>
      <w:r w:rsidR="001F60BE" w:rsidRPr="0000527B">
        <w:rPr>
          <w:rFonts w:cs="Calibri"/>
          <w:noProof/>
          <w:sz w:val="24"/>
          <w:szCs w:val="24"/>
        </w:rPr>
        <w:t>families</w:t>
      </w:r>
      <w:r w:rsidR="00445DFA" w:rsidRPr="0000527B">
        <w:rPr>
          <w:rFonts w:cs="Calibri"/>
          <w:noProof/>
          <w:sz w:val="24"/>
          <w:szCs w:val="24"/>
        </w:rPr>
        <w:t xml:space="preserve"> at all levels </w:t>
      </w:r>
      <w:r w:rsidR="001F60BE" w:rsidRPr="0000527B">
        <w:rPr>
          <w:rFonts w:cs="Calibri"/>
          <w:noProof/>
          <w:sz w:val="24"/>
          <w:szCs w:val="24"/>
        </w:rPr>
        <w:t>and</w:t>
      </w:r>
      <w:r w:rsidRPr="0000527B">
        <w:rPr>
          <w:rFonts w:cs="Calibri"/>
          <w:noProof/>
          <w:sz w:val="24"/>
          <w:szCs w:val="24"/>
        </w:rPr>
        <w:t xml:space="preserve"> and at all</w:t>
      </w:r>
      <w:r w:rsidR="001F60BE" w:rsidRPr="0000527B">
        <w:rPr>
          <w:rFonts w:cs="Calibri"/>
          <w:noProof/>
          <w:sz w:val="24"/>
          <w:szCs w:val="24"/>
        </w:rPr>
        <w:t xml:space="preserve"> stages in </w:t>
      </w:r>
      <w:r w:rsidR="00445DFA" w:rsidRPr="0000527B">
        <w:rPr>
          <w:rFonts w:cs="Calibri"/>
          <w:noProof/>
          <w:sz w:val="24"/>
          <w:szCs w:val="24"/>
        </w:rPr>
        <w:t xml:space="preserve">the planning, implementation and delivery of </w:t>
      </w:r>
      <w:r w:rsidRPr="0000527B">
        <w:rPr>
          <w:rFonts w:cs="Calibri"/>
          <w:noProof/>
          <w:sz w:val="24"/>
          <w:szCs w:val="24"/>
        </w:rPr>
        <w:t xml:space="preserve"> the </w:t>
      </w:r>
      <w:r w:rsidR="00445DFA" w:rsidRPr="0000527B">
        <w:rPr>
          <w:rFonts w:cs="Calibri"/>
          <w:noProof/>
          <w:sz w:val="24"/>
          <w:szCs w:val="24"/>
        </w:rPr>
        <w:t xml:space="preserve">health services </w:t>
      </w:r>
      <w:r w:rsidR="001F60BE" w:rsidRPr="0000527B">
        <w:rPr>
          <w:rFonts w:cs="Calibri"/>
          <w:noProof/>
          <w:sz w:val="24"/>
          <w:szCs w:val="24"/>
        </w:rPr>
        <w:t>affecting them</w:t>
      </w:r>
      <w:r w:rsidRPr="0000527B">
        <w:rPr>
          <w:rFonts w:cs="Calibri"/>
          <w:noProof/>
          <w:sz w:val="24"/>
          <w:szCs w:val="24"/>
        </w:rPr>
        <w:t>.</w:t>
      </w:r>
    </w:p>
    <w:p w:rsidR="001F60BE" w:rsidRPr="0000527B" w:rsidRDefault="001F60BE" w:rsidP="001F60BE">
      <w:pPr>
        <w:numPr>
          <w:ilvl w:val="0"/>
          <w:numId w:val="2"/>
        </w:numPr>
        <w:jc w:val="left"/>
        <w:rPr>
          <w:rFonts w:cs="Calibri"/>
          <w:noProof/>
          <w:sz w:val="24"/>
          <w:szCs w:val="24"/>
        </w:rPr>
      </w:pPr>
      <w:r w:rsidRPr="0000527B">
        <w:rPr>
          <w:rFonts w:cs="Calibri"/>
          <w:noProof/>
          <w:sz w:val="24"/>
          <w:szCs w:val="24"/>
        </w:rPr>
        <w:t>Measures to ensure</w:t>
      </w:r>
      <w:r w:rsidR="0000527B">
        <w:rPr>
          <w:rFonts w:cs="Calibri"/>
          <w:noProof/>
          <w:sz w:val="24"/>
          <w:szCs w:val="24"/>
        </w:rPr>
        <w:t xml:space="preserve"> external</w:t>
      </w:r>
      <w:r w:rsidRPr="0000527B">
        <w:rPr>
          <w:rFonts w:cs="Calibri"/>
          <w:noProof/>
          <w:sz w:val="24"/>
          <w:szCs w:val="24"/>
        </w:rPr>
        <w:t xml:space="preserve"> service provide</w:t>
      </w:r>
      <w:r w:rsidR="0000527B">
        <w:rPr>
          <w:rFonts w:cs="Calibri"/>
          <w:noProof/>
          <w:sz w:val="24"/>
          <w:szCs w:val="24"/>
        </w:rPr>
        <w:t>r</w:t>
      </w:r>
      <w:r w:rsidRPr="0000527B">
        <w:rPr>
          <w:rFonts w:cs="Calibri"/>
          <w:noProof/>
          <w:sz w:val="24"/>
          <w:szCs w:val="24"/>
        </w:rPr>
        <w:t xml:space="preserve">s engage with local Aboriginal health services </w:t>
      </w:r>
      <w:r w:rsidR="0000527B" w:rsidRPr="0000527B">
        <w:rPr>
          <w:rFonts w:cs="Calibri"/>
          <w:noProof/>
          <w:sz w:val="24"/>
          <w:szCs w:val="24"/>
        </w:rPr>
        <w:t>to develop and</w:t>
      </w:r>
      <w:r w:rsidRPr="0000527B">
        <w:rPr>
          <w:rFonts w:cs="Calibri"/>
          <w:noProof/>
          <w:sz w:val="24"/>
          <w:szCs w:val="24"/>
        </w:rPr>
        <w:t xml:space="preserve"> </w:t>
      </w:r>
      <w:r w:rsidR="007A47E5">
        <w:rPr>
          <w:rFonts w:cs="Calibri"/>
          <w:noProof/>
          <w:sz w:val="24"/>
          <w:szCs w:val="24"/>
        </w:rPr>
        <w:t>implem</w:t>
      </w:r>
      <w:r w:rsidR="0000527B" w:rsidRPr="0000527B">
        <w:rPr>
          <w:rFonts w:cs="Calibri"/>
          <w:noProof/>
          <w:sz w:val="24"/>
          <w:szCs w:val="24"/>
        </w:rPr>
        <w:t>ent strategies which ensure th</w:t>
      </w:r>
      <w:r w:rsidR="007A47E5">
        <w:rPr>
          <w:rFonts w:cs="Calibri"/>
          <w:noProof/>
          <w:sz w:val="24"/>
          <w:szCs w:val="24"/>
        </w:rPr>
        <w:t>at</w:t>
      </w:r>
      <w:r w:rsidR="0000527B" w:rsidRPr="0000527B">
        <w:rPr>
          <w:rFonts w:cs="Calibri"/>
          <w:noProof/>
          <w:sz w:val="24"/>
          <w:szCs w:val="24"/>
        </w:rPr>
        <w:t xml:space="preserve"> </w:t>
      </w:r>
      <w:r w:rsidRPr="0000527B">
        <w:rPr>
          <w:rFonts w:cs="Calibri"/>
          <w:noProof/>
          <w:sz w:val="24"/>
          <w:szCs w:val="24"/>
        </w:rPr>
        <w:t>services</w:t>
      </w:r>
      <w:r w:rsidR="0000527B">
        <w:rPr>
          <w:rFonts w:cs="Calibri"/>
          <w:noProof/>
          <w:sz w:val="24"/>
          <w:szCs w:val="24"/>
        </w:rPr>
        <w:t xml:space="preserve"> </w:t>
      </w:r>
      <w:r w:rsidR="0000527B" w:rsidRPr="0000527B">
        <w:rPr>
          <w:rFonts w:cs="Calibri"/>
          <w:noProof/>
          <w:sz w:val="24"/>
          <w:szCs w:val="24"/>
        </w:rPr>
        <w:t>provide</w:t>
      </w:r>
      <w:r w:rsidR="0000527B">
        <w:rPr>
          <w:rFonts w:cs="Calibri"/>
          <w:noProof/>
          <w:sz w:val="24"/>
          <w:szCs w:val="24"/>
        </w:rPr>
        <w:t>d</w:t>
      </w:r>
      <w:r w:rsidRPr="0000527B">
        <w:rPr>
          <w:rFonts w:cs="Calibri"/>
          <w:noProof/>
          <w:sz w:val="24"/>
          <w:szCs w:val="24"/>
        </w:rPr>
        <w:t xml:space="preserve"> are culturally appropriate, effective and culturally safe.</w:t>
      </w:r>
    </w:p>
    <w:p w:rsidR="0000527B" w:rsidRPr="0000527B" w:rsidRDefault="0000527B" w:rsidP="0000527B">
      <w:pPr>
        <w:numPr>
          <w:ilvl w:val="0"/>
          <w:numId w:val="2"/>
        </w:numPr>
        <w:jc w:val="left"/>
        <w:rPr>
          <w:rFonts w:cs="Calibri"/>
          <w:noProof/>
          <w:sz w:val="24"/>
          <w:szCs w:val="24"/>
          <w:u w:val="single"/>
        </w:rPr>
      </w:pPr>
      <w:r w:rsidRPr="0000527B">
        <w:rPr>
          <w:rFonts w:cs="Calibri"/>
          <w:noProof/>
          <w:sz w:val="24"/>
          <w:szCs w:val="24"/>
        </w:rPr>
        <w:t xml:space="preserve">Developing  stronger service delivery partnerships and new cross-sector linkages, avoiding duplication and discouraging </w:t>
      </w:r>
      <w:r w:rsidR="00E053E9">
        <w:rPr>
          <w:rFonts w:cs="Calibri"/>
          <w:noProof/>
          <w:sz w:val="24"/>
          <w:szCs w:val="24"/>
        </w:rPr>
        <w:t xml:space="preserve">inappropriate </w:t>
      </w:r>
      <w:r w:rsidRPr="0000527B">
        <w:rPr>
          <w:rFonts w:cs="Calibri"/>
          <w:noProof/>
          <w:sz w:val="24"/>
          <w:szCs w:val="24"/>
        </w:rPr>
        <w:t>competition between regional and local health services, to strengthen care pathways and to deliver a more seamless continuum of Aboriginal patient care.</w:t>
      </w:r>
    </w:p>
    <w:p w:rsidR="0000527B" w:rsidRPr="0000527B" w:rsidRDefault="0000527B" w:rsidP="0000527B">
      <w:pPr>
        <w:numPr>
          <w:ilvl w:val="0"/>
          <w:numId w:val="2"/>
        </w:numPr>
        <w:jc w:val="left"/>
        <w:rPr>
          <w:rFonts w:cs="Calibri"/>
          <w:noProof/>
          <w:sz w:val="24"/>
          <w:szCs w:val="24"/>
          <w:u w:val="single"/>
        </w:rPr>
      </w:pPr>
      <w:r w:rsidRPr="0000527B">
        <w:rPr>
          <w:rFonts w:cs="Calibri"/>
          <w:noProof/>
          <w:sz w:val="24"/>
          <w:szCs w:val="24"/>
        </w:rPr>
        <w:t>Providing equitable access to health and medical services, in coordinated rather than siloed approaches across the region.</w:t>
      </w:r>
    </w:p>
    <w:p w:rsidR="00445DFA" w:rsidRDefault="00445DFA" w:rsidP="00060FF0">
      <w:pPr>
        <w:jc w:val="left"/>
        <w:rPr>
          <w:rFonts w:cs="Calibri"/>
          <w:noProof/>
          <w:sz w:val="24"/>
          <w:szCs w:val="24"/>
          <w:u w:val="single"/>
        </w:rPr>
      </w:pPr>
    </w:p>
    <w:p w:rsidR="00060FF0" w:rsidRDefault="00060FF0" w:rsidP="00060FF0">
      <w:pPr>
        <w:autoSpaceDE w:val="0"/>
        <w:autoSpaceDN w:val="0"/>
        <w:adjustRightInd w:val="0"/>
        <w:jc w:val="left"/>
        <w:rPr>
          <w:rFonts w:cs="Interstate-LightCondensed"/>
          <w:sz w:val="24"/>
          <w:szCs w:val="24"/>
          <w:lang w:val="en-AU"/>
        </w:rPr>
      </w:pPr>
      <w:r>
        <w:rPr>
          <w:rFonts w:cs="Interstate-LightCondensed"/>
          <w:sz w:val="24"/>
          <w:szCs w:val="24"/>
          <w:lang w:val="en-AU"/>
        </w:rPr>
        <w:t>Recommendations that KAHFP believes would improve health outcomes for Aboriginal people living in remote communities</w:t>
      </w:r>
      <w:r w:rsidR="007F39A6">
        <w:rPr>
          <w:rFonts w:cs="Interstate-LightCondensed"/>
          <w:sz w:val="24"/>
          <w:szCs w:val="24"/>
          <w:lang w:val="en-AU"/>
        </w:rPr>
        <w:t xml:space="preserve"> in the Kimberley</w:t>
      </w:r>
      <w:r>
        <w:rPr>
          <w:rFonts w:cs="Interstate-LightCondensed"/>
          <w:sz w:val="24"/>
          <w:szCs w:val="24"/>
          <w:lang w:val="en-AU"/>
        </w:rPr>
        <w:t xml:space="preserve"> are detailed in pages 8-11 of this paper.   For more information about any of these recommendations please contact the KAHPF Chair, Vicki O’Donnell on 0891 943 200.</w:t>
      </w:r>
    </w:p>
    <w:p w:rsidR="006D68B7" w:rsidRDefault="006D68B7" w:rsidP="004A6D11">
      <w:pPr>
        <w:autoSpaceDE w:val="0"/>
        <w:autoSpaceDN w:val="0"/>
        <w:adjustRightInd w:val="0"/>
        <w:jc w:val="both"/>
        <w:rPr>
          <w:rFonts w:cs="TTE2228400t00"/>
          <w:b/>
          <w:color w:val="1F4E79" w:themeColor="accent1" w:themeShade="80"/>
          <w:sz w:val="28"/>
          <w:szCs w:val="28"/>
          <w:lang w:eastAsia="en-AU"/>
        </w:rPr>
      </w:pPr>
    </w:p>
    <w:p w:rsidR="004A6D11" w:rsidRPr="004A6D11" w:rsidRDefault="004A6D11" w:rsidP="004A6D11">
      <w:pPr>
        <w:autoSpaceDE w:val="0"/>
        <w:autoSpaceDN w:val="0"/>
        <w:adjustRightInd w:val="0"/>
        <w:jc w:val="both"/>
        <w:rPr>
          <w:rFonts w:cs="TTE2228400t00"/>
          <w:b/>
          <w:color w:val="1F4E79" w:themeColor="accent1" w:themeShade="80"/>
          <w:sz w:val="28"/>
          <w:szCs w:val="28"/>
          <w:lang w:eastAsia="en-AU"/>
        </w:rPr>
      </w:pPr>
      <w:r w:rsidRPr="004A6D11">
        <w:rPr>
          <w:rFonts w:cs="TTE2228400t00"/>
          <w:b/>
          <w:color w:val="1F4E79" w:themeColor="accent1" w:themeShade="80"/>
          <w:sz w:val="28"/>
          <w:szCs w:val="28"/>
          <w:lang w:eastAsia="en-AU"/>
        </w:rPr>
        <w:t>THE CURRENT HEALTH STATUS OF THE KIMBERLEY POPULATION</w:t>
      </w:r>
    </w:p>
    <w:p w:rsidR="004A6D11" w:rsidRPr="0031313D" w:rsidRDefault="004A6D11" w:rsidP="004A6D11">
      <w:pPr>
        <w:autoSpaceDE w:val="0"/>
        <w:autoSpaceDN w:val="0"/>
        <w:adjustRightInd w:val="0"/>
        <w:jc w:val="left"/>
        <w:rPr>
          <w:rFonts w:cs="TTE2228400t00"/>
          <w:b/>
          <w:sz w:val="24"/>
          <w:szCs w:val="24"/>
          <w:lang w:eastAsia="en-AU"/>
        </w:rPr>
      </w:pPr>
    </w:p>
    <w:p w:rsidR="004A6D11" w:rsidRPr="004B4B5E" w:rsidRDefault="004A6D11" w:rsidP="004A6D11">
      <w:pPr>
        <w:autoSpaceDE w:val="0"/>
        <w:autoSpaceDN w:val="0"/>
        <w:adjustRightInd w:val="0"/>
        <w:jc w:val="left"/>
        <w:rPr>
          <w:rFonts w:ascii="Interstate-LightCondensed" w:hAnsi="Interstate-LightCondensed" w:cs="Interstate-LightCondensed"/>
          <w:b/>
          <w:color w:val="000000"/>
          <w:lang w:val="en-AU"/>
        </w:rPr>
      </w:pPr>
      <w:r w:rsidRPr="0031313D">
        <w:rPr>
          <w:sz w:val="24"/>
          <w:szCs w:val="24"/>
        </w:rPr>
        <w:t xml:space="preserve">Aboriginal people in the Kimberley continue to have </w:t>
      </w:r>
      <w:r w:rsidR="00AC6A33">
        <w:rPr>
          <w:sz w:val="24"/>
          <w:szCs w:val="24"/>
        </w:rPr>
        <w:t xml:space="preserve">significant </w:t>
      </w:r>
      <w:r w:rsidR="00E053E9">
        <w:rPr>
          <w:sz w:val="24"/>
          <w:szCs w:val="24"/>
        </w:rPr>
        <w:t>health inequity</w:t>
      </w:r>
      <w:r w:rsidR="00AC6A33">
        <w:rPr>
          <w:sz w:val="24"/>
          <w:szCs w:val="24"/>
        </w:rPr>
        <w:t xml:space="preserve"> and </w:t>
      </w:r>
      <w:r w:rsidR="00AC6A33" w:rsidRPr="0031313D">
        <w:rPr>
          <w:sz w:val="24"/>
          <w:szCs w:val="24"/>
        </w:rPr>
        <w:t xml:space="preserve">far worse health outcomes </w:t>
      </w:r>
      <w:r w:rsidR="00AC6A33">
        <w:rPr>
          <w:sz w:val="24"/>
          <w:szCs w:val="24"/>
        </w:rPr>
        <w:t>than</w:t>
      </w:r>
      <w:r w:rsidRPr="0031313D">
        <w:rPr>
          <w:sz w:val="24"/>
          <w:szCs w:val="24"/>
        </w:rPr>
        <w:t xml:space="preserve"> both </w:t>
      </w:r>
      <w:r w:rsidRPr="00043995">
        <w:rPr>
          <w:sz w:val="24"/>
          <w:szCs w:val="24"/>
        </w:rPr>
        <w:t>Aboriginal people in the rest of WA and their non-Aboriginal counterparts in the Kimberley.</w:t>
      </w:r>
      <w:r w:rsidRPr="00043995">
        <w:t xml:space="preserve">  </w:t>
      </w:r>
      <w:r>
        <w:rPr>
          <w:rFonts w:cs="TTE2228400t00"/>
          <w:sz w:val="24"/>
          <w:szCs w:val="24"/>
          <w:lang w:eastAsia="en-AU"/>
        </w:rPr>
        <w:t xml:space="preserve">Data </w:t>
      </w:r>
      <w:r w:rsidRPr="004B4B5E">
        <w:rPr>
          <w:rFonts w:cs="TTE2228400t00"/>
          <w:sz w:val="24"/>
          <w:szCs w:val="24"/>
          <w:lang w:eastAsia="en-AU"/>
        </w:rPr>
        <w:t xml:space="preserve">from the Kimberley Health Profile 2015 </w:t>
      </w:r>
      <w:r w:rsidRPr="004B4B5E">
        <w:rPr>
          <w:rStyle w:val="FootnoteReference"/>
          <w:rFonts w:cs="TTE2228400t00"/>
          <w:sz w:val="24"/>
          <w:szCs w:val="24"/>
          <w:lang w:eastAsia="en-AU"/>
        </w:rPr>
        <w:footnoteReference w:id="3"/>
      </w:r>
      <w:r w:rsidRPr="004B4B5E">
        <w:rPr>
          <w:rFonts w:cs="TTE2228400t00"/>
          <w:sz w:val="24"/>
          <w:szCs w:val="24"/>
          <w:lang w:eastAsia="en-AU"/>
        </w:rPr>
        <w:t xml:space="preserve"> </w:t>
      </w:r>
      <w:r w:rsidRPr="004B4B5E">
        <w:rPr>
          <w:rFonts w:cs="Interstate-LightCondensed"/>
          <w:color w:val="000000"/>
          <w:sz w:val="24"/>
          <w:szCs w:val="24"/>
          <w:lang w:val="en-AU"/>
        </w:rPr>
        <w:t>demonstrates the region’s specific health and wellbeing challenges</w:t>
      </w:r>
      <w:r w:rsidRPr="004B4B5E">
        <w:rPr>
          <w:rFonts w:cs="Interstate-LightCondensed"/>
          <w:b/>
          <w:color w:val="000000"/>
          <w:sz w:val="24"/>
          <w:szCs w:val="24"/>
          <w:lang w:val="en-AU"/>
        </w:rPr>
        <w:t>:</w:t>
      </w:r>
    </w:p>
    <w:p w:rsidR="004A6D11" w:rsidRPr="004B4B5E" w:rsidRDefault="004A6D11" w:rsidP="004A6D11">
      <w:pPr>
        <w:pStyle w:val="ListParagraph"/>
        <w:numPr>
          <w:ilvl w:val="0"/>
          <w:numId w:val="18"/>
        </w:numPr>
        <w:autoSpaceDE w:val="0"/>
        <w:autoSpaceDN w:val="0"/>
        <w:adjustRightInd w:val="0"/>
        <w:rPr>
          <w:rFonts w:asciiTheme="minorHAnsi" w:hAnsiTheme="minorHAnsi" w:cs="TTE2228400t00"/>
          <w:lang w:eastAsia="en-AU"/>
        </w:rPr>
      </w:pPr>
      <w:r>
        <w:rPr>
          <w:rFonts w:asciiTheme="minorHAnsi" w:hAnsiTheme="minorHAnsi" w:cs="TTE2228400t00"/>
          <w:lang w:eastAsia="en-AU"/>
        </w:rPr>
        <w:t>F</w:t>
      </w:r>
      <w:r w:rsidRPr="004B4B5E">
        <w:rPr>
          <w:rFonts w:asciiTheme="minorHAnsi" w:hAnsiTheme="minorHAnsi" w:cs="TTE2228400t00"/>
          <w:lang w:eastAsia="en-AU"/>
        </w:rPr>
        <w:t>or 2007-11 the Kimberley mortality rate was almost double that of the WA rate. Just under half of the deaths for Kimberley residents under 75 years could potentially have been avoided.  The leading causes of death were ischaemic heart disease, intentional self harm and diabetes/impaired glucose regulation.</w:t>
      </w:r>
    </w:p>
    <w:p w:rsidR="004A6D11" w:rsidRPr="004B4B5E" w:rsidRDefault="004A6D11" w:rsidP="004A6D11">
      <w:pPr>
        <w:pStyle w:val="ListParagraph"/>
        <w:numPr>
          <w:ilvl w:val="0"/>
          <w:numId w:val="17"/>
        </w:numPr>
        <w:autoSpaceDE w:val="0"/>
        <w:autoSpaceDN w:val="0"/>
        <w:adjustRightInd w:val="0"/>
        <w:rPr>
          <w:rFonts w:asciiTheme="minorHAnsi" w:hAnsiTheme="minorHAnsi" w:cs="TTE2228400t00"/>
          <w:lang w:eastAsia="en-AU"/>
        </w:rPr>
      </w:pPr>
      <w:r w:rsidRPr="00043995">
        <w:rPr>
          <w:rFonts w:asciiTheme="minorHAnsi" w:hAnsiTheme="minorHAnsi" w:cs="TTE2228400t00"/>
          <w:lang w:eastAsia="en-AU"/>
        </w:rPr>
        <w:t xml:space="preserve">From 2008 – 2012 the hospitalisation rate of Kimberley residents was twice as high as the </w:t>
      </w:r>
      <w:r w:rsidRPr="004B4B5E">
        <w:rPr>
          <w:rFonts w:asciiTheme="minorHAnsi" w:hAnsiTheme="minorHAnsi" w:cs="TTE2228400t00"/>
          <w:lang w:eastAsia="en-AU"/>
        </w:rPr>
        <w:t>WA rate.  Hospitalisation for potentially preventable conditions was also significantly higher than the WA rate.</w:t>
      </w:r>
    </w:p>
    <w:p w:rsidR="004A6D11" w:rsidRPr="004B4B5E" w:rsidRDefault="004A6D11" w:rsidP="004A6D11">
      <w:pPr>
        <w:pStyle w:val="ListParagraph"/>
        <w:numPr>
          <w:ilvl w:val="0"/>
          <w:numId w:val="17"/>
        </w:numPr>
        <w:rPr>
          <w:rFonts w:asciiTheme="minorHAnsi" w:hAnsiTheme="minorHAnsi"/>
        </w:rPr>
      </w:pPr>
      <w:r w:rsidRPr="004B4B5E">
        <w:rPr>
          <w:rFonts w:asciiTheme="minorHAnsi" w:hAnsiTheme="minorHAnsi"/>
        </w:rPr>
        <w:t>For 2007-2011, the notification rates for notifiable diseases for adults aged 15-64 years were significantly higher in the Kimberley compared with the State for all categories except zoonotic diseases. Of particular note, the rate of sexually transmitted infection (STI) notifications (4,217 per 100,000) was nearly six times the State rate.</w:t>
      </w:r>
    </w:p>
    <w:p w:rsidR="004A6D11" w:rsidRPr="004B4B5E" w:rsidRDefault="004A6D11" w:rsidP="004A6D11">
      <w:pPr>
        <w:pStyle w:val="ListParagraph"/>
        <w:numPr>
          <w:ilvl w:val="0"/>
          <w:numId w:val="19"/>
        </w:numPr>
        <w:autoSpaceDE w:val="0"/>
        <w:autoSpaceDN w:val="0"/>
        <w:adjustRightInd w:val="0"/>
        <w:rPr>
          <w:rFonts w:asciiTheme="minorHAnsi" w:hAnsiTheme="minorHAnsi" w:cs="Arial"/>
        </w:rPr>
      </w:pPr>
      <w:r w:rsidRPr="004B4B5E">
        <w:rPr>
          <w:rFonts w:asciiTheme="minorHAnsi" w:hAnsiTheme="minorHAnsi" w:cs="Arial"/>
        </w:rPr>
        <w:t>For 2008-2012, the rate of hospitalisation of older people for influenza/pneumonia (3,054 per 100,000) was three times higher than the State rate which was statistically significant.</w:t>
      </w:r>
    </w:p>
    <w:p w:rsidR="004A6D11" w:rsidRDefault="004A6D11" w:rsidP="004A6D11">
      <w:pPr>
        <w:autoSpaceDE w:val="0"/>
        <w:autoSpaceDN w:val="0"/>
        <w:adjustRightInd w:val="0"/>
        <w:jc w:val="left"/>
        <w:rPr>
          <w:rFonts w:cs="TTE2228400t00"/>
          <w:sz w:val="24"/>
          <w:szCs w:val="24"/>
          <w:lang w:eastAsia="en-AU"/>
        </w:rPr>
      </w:pPr>
    </w:p>
    <w:p w:rsidR="004A6D11" w:rsidRPr="00A925EC" w:rsidRDefault="004A6D11" w:rsidP="004A6D11">
      <w:pPr>
        <w:jc w:val="left"/>
        <w:rPr>
          <w:sz w:val="24"/>
          <w:szCs w:val="24"/>
        </w:rPr>
      </w:pPr>
      <w:r w:rsidRPr="00A925EC">
        <w:rPr>
          <w:sz w:val="24"/>
          <w:szCs w:val="24"/>
        </w:rPr>
        <w:t xml:space="preserve">Rates of Chronic Disease are high in the Kimberley. For example, at least 420 people </w:t>
      </w:r>
      <w:r>
        <w:rPr>
          <w:sz w:val="24"/>
          <w:szCs w:val="24"/>
        </w:rPr>
        <w:t xml:space="preserve">in the Kimberley have </w:t>
      </w:r>
      <w:r w:rsidRPr="00A925EC">
        <w:rPr>
          <w:sz w:val="24"/>
          <w:szCs w:val="24"/>
        </w:rPr>
        <w:t xml:space="preserve">RHD (WA Dept. of Health 2014).  There are at least 2,000 people diagnosed as having type 1 or type 2 diabetes in the Kimberley, with this figure projected to rise to over 2,300 by 2022 (WACHS 2014).   </w:t>
      </w:r>
      <w:r w:rsidRPr="00A925EC">
        <w:rPr>
          <w:rFonts w:cs="Courier New"/>
          <w:sz w:val="24"/>
          <w:szCs w:val="24"/>
        </w:rPr>
        <w:t xml:space="preserve">In 2013 Princess Margaret Hospital reported a spike in the number of </w:t>
      </w:r>
      <w:r w:rsidRPr="00A925EC">
        <w:rPr>
          <w:rFonts w:cs="Courier New"/>
          <w:sz w:val="24"/>
          <w:szCs w:val="24"/>
        </w:rPr>
        <w:lastRenderedPageBreak/>
        <w:t xml:space="preserve">children with Acute Rheumatic Fever (ARF) and increased severity of the illness.  The majority of sufferers were Aboriginal children from the Kimberley who will face long-term health consequences.  Environmental </w:t>
      </w:r>
      <w:r w:rsidRPr="00A925EC">
        <w:rPr>
          <w:rFonts w:cs="Helvetica"/>
          <w:sz w:val="24"/>
          <w:szCs w:val="24"/>
        </w:rPr>
        <w:t xml:space="preserve">factors such as </w:t>
      </w:r>
      <w:r w:rsidR="00E053E9">
        <w:rPr>
          <w:rFonts w:cs="Helvetica"/>
          <w:sz w:val="24"/>
          <w:szCs w:val="24"/>
        </w:rPr>
        <w:t>substandard housing conditions, unreliable health hardware</w:t>
      </w:r>
      <w:r w:rsidR="00AC6A33">
        <w:rPr>
          <w:rFonts w:cs="Helvetica"/>
          <w:sz w:val="24"/>
          <w:szCs w:val="24"/>
        </w:rPr>
        <w:t>,</w:t>
      </w:r>
      <w:r w:rsidR="00E053E9">
        <w:rPr>
          <w:rFonts w:cs="Helvetica"/>
          <w:sz w:val="24"/>
          <w:szCs w:val="24"/>
        </w:rPr>
        <w:t xml:space="preserve"> inadequate maintenance</w:t>
      </w:r>
      <w:r w:rsidR="00AC6A33">
        <w:rPr>
          <w:rFonts w:cs="Helvetica"/>
          <w:sz w:val="24"/>
          <w:szCs w:val="24"/>
        </w:rPr>
        <w:t xml:space="preserve"> and</w:t>
      </w:r>
      <w:r w:rsidR="00E053E9">
        <w:rPr>
          <w:rFonts w:cs="Helvetica"/>
          <w:sz w:val="24"/>
          <w:szCs w:val="24"/>
        </w:rPr>
        <w:t xml:space="preserve"> </w:t>
      </w:r>
      <w:r w:rsidR="00AC6A33">
        <w:rPr>
          <w:rFonts w:cs="Helvetica"/>
          <w:sz w:val="24"/>
          <w:szCs w:val="24"/>
        </w:rPr>
        <w:t>o</w:t>
      </w:r>
      <w:r w:rsidR="00E053E9" w:rsidRPr="00A925EC">
        <w:rPr>
          <w:rFonts w:cs="Helvetica"/>
          <w:sz w:val="24"/>
          <w:szCs w:val="24"/>
        </w:rPr>
        <w:t xml:space="preserve">vercrowding </w:t>
      </w:r>
      <w:r w:rsidR="00AC6A33">
        <w:rPr>
          <w:rFonts w:cs="Helvetica"/>
          <w:sz w:val="24"/>
          <w:szCs w:val="24"/>
        </w:rPr>
        <w:t>were</w:t>
      </w:r>
      <w:r w:rsidR="00E053E9">
        <w:rPr>
          <w:rFonts w:cs="Helvetica"/>
          <w:sz w:val="24"/>
          <w:szCs w:val="24"/>
        </w:rPr>
        <w:t xml:space="preserve"> </w:t>
      </w:r>
      <w:r w:rsidRPr="00A925EC">
        <w:rPr>
          <w:rFonts w:cs="Helvetica"/>
          <w:sz w:val="24"/>
          <w:szCs w:val="24"/>
        </w:rPr>
        <w:t xml:space="preserve">a major contributor to this spike, and to the increased prevalence of the Group A </w:t>
      </w:r>
      <w:r w:rsidRPr="00A925EC">
        <w:rPr>
          <w:rFonts w:cs="Helvetica-Oblique"/>
          <w:i/>
          <w:iCs/>
          <w:sz w:val="24"/>
          <w:szCs w:val="24"/>
        </w:rPr>
        <w:t xml:space="preserve">Streptococcal </w:t>
      </w:r>
      <w:r w:rsidRPr="00A925EC">
        <w:rPr>
          <w:rFonts w:cs="Helvetica"/>
          <w:sz w:val="24"/>
          <w:szCs w:val="24"/>
        </w:rPr>
        <w:t>strain common to the outbreak.</w:t>
      </w:r>
    </w:p>
    <w:p w:rsidR="004A6D11" w:rsidRPr="00A925EC" w:rsidRDefault="004A6D11" w:rsidP="004A6D11">
      <w:pPr>
        <w:jc w:val="left"/>
        <w:rPr>
          <w:rFonts w:cs="Courier New"/>
          <w:sz w:val="24"/>
          <w:szCs w:val="24"/>
        </w:rPr>
      </w:pPr>
    </w:p>
    <w:p w:rsidR="004A6D11" w:rsidRDefault="00E053E9" w:rsidP="004A6D11">
      <w:pPr>
        <w:contextualSpacing/>
        <w:jc w:val="left"/>
        <w:rPr>
          <w:rFonts w:ascii="Calibri" w:hAnsi="Calibri"/>
          <w:bCs/>
          <w:sz w:val="24"/>
          <w:szCs w:val="24"/>
        </w:rPr>
      </w:pPr>
      <w:r>
        <w:rPr>
          <w:rFonts w:cs="Courier New"/>
          <w:sz w:val="24"/>
          <w:szCs w:val="24"/>
        </w:rPr>
        <w:t>Between</w:t>
      </w:r>
      <w:r w:rsidRPr="00A925EC">
        <w:rPr>
          <w:rFonts w:cs="Courier New"/>
          <w:sz w:val="24"/>
          <w:szCs w:val="24"/>
        </w:rPr>
        <w:t xml:space="preserve"> </w:t>
      </w:r>
      <w:r w:rsidR="004A6D11" w:rsidRPr="00A925EC">
        <w:rPr>
          <w:bCs/>
          <w:sz w:val="24"/>
          <w:szCs w:val="24"/>
        </w:rPr>
        <w:t xml:space="preserve">November 2013 </w:t>
      </w:r>
      <w:r>
        <w:rPr>
          <w:bCs/>
          <w:sz w:val="24"/>
          <w:szCs w:val="24"/>
        </w:rPr>
        <w:t xml:space="preserve">and December 2014 </w:t>
      </w:r>
      <w:r w:rsidR="004A6D11" w:rsidRPr="00A925EC">
        <w:rPr>
          <w:bCs/>
          <w:sz w:val="24"/>
          <w:szCs w:val="24"/>
        </w:rPr>
        <w:t xml:space="preserve">the Kimberley region experienced a dramatic </w:t>
      </w:r>
      <w:r w:rsidR="004A6D11">
        <w:rPr>
          <w:bCs/>
          <w:sz w:val="24"/>
          <w:szCs w:val="24"/>
        </w:rPr>
        <w:t xml:space="preserve">outbreak of </w:t>
      </w:r>
      <w:r w:rsidR="004A6D11" w:rsidRPr="00A925EC">
        <w:rPr>
          <w:bCs/>
          <w:sz w:val="24"/>
          <w:szCs w:val="24"/>
        </w:rPr>
        <w:t xml:space="preserve">Acute Post Streptococcal Glomerulonephritis or APSGN. </w:t>
      </w:r>
      <w:r w:rsidR="004A6D11">
        <w:rPr>
          <w:bCs/>
          <w:sz w:val="24"/>
          <w:szCs w:val="24"/>
        </w:rPr>
        <w:t>100</w:t>
      </w:r>
      <w:r w:rsidR="004A6D11" w:rsidRPr="00A925EC">
        <w:rPr>
          <w:bCs/>
          <w:sz w:val="24"/>
          <w:szCs w:val="24"/>
        </w:rPr>
        <w:t xml:space="preserve"> cases of APSGN </w:t>
      </w:r>
      <w:r w:rsidR="004A6D11">
        <w:rPr>
          <w:bCs/>
          <w:sz w:val="24"/>
          <w:szCs w:val="24"/>
        </w:rPr>
        <w:t>have been</w:t>
      </w:r>
      <w:r w:rsidR="00CA3FBD">
        <w:rPr>
          <w:bCs/>
          <w:sz w:val="24"/>
          <w:szCs w:val="24"/>
        </w:rPr>
        <w:t xml:space="preserve"> reported</w:t>
      </w:r>
      <w:r w:rsidR="004A6D11">
        <w:rPr>
          <w:bCs/>
          <w:sz w:val="24"/>
          <w:szCs w:val="24"/>
        </w:rPr>
        <w:t xml:space="preserve"> since the outbreak began</w:t>
      </w:r>
      <w:r w:rsidR="00CA3FBD">
        <w:rPr>
          <w:bCs/>
          <w:sz w:val="24"/>
          <w:szCs w:val="24"/>
        </w:rPr>
        <w:t>,</w:t>
      </w:r>
      <w:r w:rsidR="004A6D11">
        <w:rPr>
          <w:bCs/>
          <w:sz w:val="24"/>
          <w:szCs w:val="24"/>
        </w:rPr>
        <w:t xml:space="preserve"> </w:t>
      </w:r>
      <w:r w:rsidR="004A6D11" w:rsidRPr="00A925EC">
        <w:rPr>
          <w:bCs/>
          <w:sz w:val="24"/>
          <w:szCs w:val="24"/>
        </w:rPr>
        <w:t>with children being hospitalised on average for 2-3 weeks</w:t>
      </w:r>
      <w:r>
        <w:rPr>
          <w:bCs/>
          <w:sz w:val="24"/>
          <w:szCs w:val="24"/>
        </w:rPr>
        <w:t xml:space="preserve"> under specialist care</w:t>
      </w:r>
      <w:r w:rsidR="004A6D11" w:rsidRPr="00A925EC">
        <w:rPr>
          <w:bCs/>
          <w:sz w:val="24"/>
          <w:szCs w:val="24"/>
        </w:rPr>
        <w:t xml:space="preserve">.  Management of </w:t>
      </w:r>
      <w:r>
        <w:rPr>
          <w:bCs/>
          <w:sz w:val="24"/>
          <w:szCs w:val="24"/>
        </w:rPr>
        <w:t xml:space="preserve">resultant </w:t>
      </w:r>
      <w:r w:rsidR="004A6D11" w:rsidRPr="00A925EC">
        <w:rPr>
          <w:bCs/>
          <w:sz w:val="24"/>
          <w:szCs w:val="24"/>
        </w:rPr>
        <w:t xml:space="preserve">severe hypertension was needed to prevent kidney and heart failure.  </w:t>
      </w:r>
      <w:r w:rsidRPr="00A925EC">
        <w:rPr>
          <w:bCs/>
          <w:sz w:val="24"/>
          <w:szCs w:val="24"/>
        </w:rPr>
        <w:t xml:space="preserve">Skin </w:t>
      </w:r>
      <w:r w:rsidR="004A6D11" w:rsidRPr="00A925EC">
        <w:rPr>
          <w:bCs/>
          <w:sz w:val="24"/>
          <w:szCs w:val="24"/>
        </w:rPr>
        <w:t>sores</w:t>
      </w:r>
      <w:r>
        <w:rPr>
          <w:bCs/>
          <w:sz w:val="24"/>
          <w:szCs w:val="24"/>
        </w:rPr>
        <w:t xml:space="preserve"> are thought to be the source of the group A streptococcal infection (GAS) that leads to APSGN</w:t>
      </w:r>
      <w:r w:rsidR="004A6D11" w:rsidRPr="00A925EC">
        <w:rPr>
          <w:bCs/>
          <w:sz w:val="24"/>
          <w:szCs w:val="24"/>
        </w:rPr>
        <w:t xml:space="preserve">.  </w:t>
      </w:r>
      <w:r w:rsidR="004A6D11" w:rsidRPr="00A925EC">
        <w:rPr>
          <w:rFonts w:ascii="Calibri" w:hAnsi="Calibri"/>
          <w:bCs/>
          <w:sz w:val="24"/>
          <w:szCs w:val="24"/>
        </w:rPr>
        <w:t xml:space="preserve">The underlying cause of the majority of skin sores is scabies, a condition that thrives where </w:t>
      </w:r>
      <w:r w:rsidR="004A6D11">
        <w:rPr>
          <w:rFonts w:ascii="Calibri" w:hAnsi="Calibri"/>
          <w:bCs/>
          <w:sz w:val="24"/>
          <w:szCs w:val="24"/>
        </w:rPr>
        <w:t xml:space="preserve">housing is inadequate for demand, </w:t>
      </w:r>
      <w:r w:rsidR="004A6D11" w:rsidRPr="00A925EC">
        <w:rPr>
          <w:rFonts w:ascii="Calibri" w:hAnsi="Calibri"/>
          <w:bCs/>
          <w:sz w:val="24"/>
          <w:szCs w:val="24"/>
        </w:rPr>
        <w:t xml:space="preserve">environmental </w:t>
      </w:r>
      <w:r w:rsidR="004A6D11">
        <w:rPr>
          <w:rFonts w:ascii="Calibri" w:hAnsi="Calibri"/>
          <w:bCs/>
          <w:sz w:val="24"/>
          <w:szCs w:val="24"/>
        </w:rPr>
        <w:t xml:space="preserve">conditions are </w:t>
      </w:r>
      <w:r w:rsidR="004A6D11" w:rsidRPr="00A925EC">
        <w:rPr>
          <w:rFonts w:ascii="Calibri" w:hAnsi="Calibri"/>
          <w:bCs/>
          <w:sz w:val="24"/>
          <w:szCs w:val="24"/>
        </w:rPr>
        <w:t xml:space="preserve">poor and </w:t>
      </w:r>
      <w:r w:rsidR="004A6D11">
        <w:rPr>
          <w:rFonts w:ascii="Calibri" w:hAnsi="Calibri"/>
          <w:bCs/>
          <w:sz w:val="24"/>
          <w:szCs w:val="24"/>
        </w:rPr>
        <w:t xml:space="preserve">access to essentials for health such as hot water, sanitation and organised waste disposal is suboptimal.  </w:t>
      </w:r>
    </w:p>
    <w:p w:rsidR="00CA3FBD" w:rsidRDefault="00CA3FBD" w:rsidP="004A6D11">
      <w:pPr>
        <w:contextualSpacing/>
        <w:jc w:val="left"/>
        <w:rPr>
          <w:rFonts w:ascii="Calibri" w:hAnsi="Calibri"/>
          <w:bCs/>
          <w:sz w:val="24"/>
          <w:szCs w:val="24"/>
        </w:rPr>
      </w:pPr>
    </w:p>
    <w:p w:rsidR="00CA3FBD" w:rsidRPr="00CA3FBD" w:rsidRDefault="00CA3FBD" w:rsidP="00D1590C">
      <w:pPr>
        <w:autoSpaceDE w:val="0"/>
        <w:autoSpaceDN w:val="0"/>
        <w:adjustRightInd w:val="0"/>
        <w:jc w:val="left"/>
        <w:rPr>
          <w:rFonts w:cs="TTE2228400t00"/>
          <w:sz w:val="24"/>
          <w:szCs w:val="24"/>
          <w:lang w:eastAsia="en-AU"/>
        </w:rPr>
      </w:pPr>
      <w:r w:rsidRPr="00CA3FBD">
        <w:rPr>
          <w:sz w:val="24"/>
          <w:szCs w:val="24"/>
        </w:rPr>
        <w:t>The social, environmental and economic factors that play a significant role in shaping the health and wellbeing of individuals and populations are commonly referred to as the social determinants of health (SDH). Evidence documenting the contribution of the SDH to population health outcomes is well established and undisputed.</w:t>
      </w:r>
      <w:r w:rsidR="00D1590C">
        <w:rPr>
          <w:sz w:val="24"/>
          <w:szCs w:val="24"/>
        </w:rPr>
        <w:t xml:space="preserve">  Addressing the shortage of housing, lack of environmental </w:t>
      </w:r>
      <w:r w:rsidR="00D1590C" w:rsidRPr="00AC6A33">
        <w:rPr>
          <w:sz w:val="24"/>
          <w:szCs w:val="24"/>
        </w:rPr>
        <w:t>health services</w:t>
      </w:r>
      <w:r w:rsidR="00AC6A33" w:rsidRPr="00AC6A33">
        <w:rPr>
          <w:sz w:val="24"/>
          <w:szCs w:val="24"/>
        </w:rPr>
        <w:t xml:space="preserve"> and services to fix health hardware ( ensuring, for example, reliable and functioning stoves, fridges, sinks hot water, toilets)</w:t>
      </w:r>
      <w:r w:rsidR="00D1590C" w:rsidRPr="00AC6A33">
        <w:rPr>
          <w:sz w:val="24"/>
          <w:szCs w:val="24"/>
        </w:rPr>
        <w:t>,</w:t>
      </w:r>
      <w:r w:rsidR="00AC6A33" w:rsidRPr="00AC6A33">
        <w:rPr>
          <w:sz w:val="24"/>
          <w:szCs w:val="24"/>
        </w:rPr>
        <w:t xml:space="preserve"> affordable</w:t>
      </w:r>
      <w:r w:rsidR="00AC6A33">
        <w:rPr>
          <w:sz w:val="24"/>
          <w:szCs w:val="24"/>
        </w:rPr>
        <w:t xml:space="preserve"> fresh foods, </w:t>
      </w:r>
      <w:r w:rsidR="00D1590C">
        <w:rPr>
          <w:sz w:val="24"/>
          <w:szCs w:val="24"/>
        </w:rPr>
        <w:t xml:space="preserve"> food security, employment, education, cultural identity and hopelessness all lie outside the responsibility of the health sector yet, have a crucial impact on health outcomes. </w:t>
      </w:r>
      <w:r w:rsidRPr="00CA3FBD">
        <w:rPr>
          <w:sz w:val="24"/>
          <w:szCs w:val="24"/>
        </w:rPr>
        <w:t xml:space="preserve">  </w:t>
      </w:r>
      <w:r w:rsidR="00D1590C">
        <w:rPr>
          <w:sz w:val="24"/>
          <w:szCs w:val="24"/>
        </w:rPr>
        <w:t>To date</w:t>
      </w:r>
      <w:r w:rsidRPr="00CA3FBD">
        <w:rPr>
          <w:sz w:val="24"/>
          <w:szCs w:val="24"/>
        </w:rPr>
        <w:t xml:space="preserve"> KAHPF </w:t>
      </w:r>
      <w:r w:rsidRPr="00CA3FBD">
        <w:rPr>
          <w:rFonts w:cs="TTE2228400t00"/>
          <w:sz w:val="24"/>
          <w:szCs w:val="24"/>
          <w:lang w:eastAsia="en-AU"/>
        </w:rPr>
        <w:t>advocacy for measures to address the social determinants of health has not</w:t>
      </w:r>
      <w:r w:rsidR="00AC6A33">
        <w:rPr>
          <w:rFonts w:cs="TTE2228400t00"/>
          <w:sz w:val="24"/>
          <w:szCs w:val="24"/>
          <w:lang w:eastAsia="en-AU"/>
        </w:rPr>
        <w:t xml:space="preserve"> </w:t>
      </w:r>
      <w:r w:rsidRPr="00CA3FBD">
        <w:rPr>
          <w:rFonts w:cs="TTE2228400t00"/>
          <w:sz w:val="24"/>
          <w:szCs w:val="24"/>
          <w:lang w:eastAsia="en-AU"/>
        </w:rPr>
        <w:t xml:space="preserve">resulted in the changes that are needed. </w:t>
      </w:r>
      <w:r w:rsidR="00D1590C">
        <w:rPr>
          <w:rFonts w:cs="TTE2228400t00"/>
          <w:sz w:val="24"/>
          <w:szCs w:val="24"/>
          <w:lang w:eastAsia="en-AU"/>
        </w:rPr>
        <w:t xml:space="preserve"> Unless the reform process does, then the challenge of improving health outcomes will continue. </w:t>
      </w:r>
    </w:p>
    <w:p w:rsidR="004A6D11" w:rsidRPr="00A925EC" w:rsidRDefault="004A6D11" w:rsidP="004A6D11">
      <w:pPr>
        <w:autoSpaceDE w:val="0"/>
        <w:autoSpaceDN w:val="0"/>
        <w:adjustRightInd w:val="0"/>
        <w:jc w:val="left"/>
        <w:rPr>
          <w:rFonts w:cs="TTE2228400t00"/>
          <w:sz w:val="24"/>
          <w:szCs w:val="24"/>
          <w:lang w:eastAsia="en-AU"/>
        </w:rPr>
      </w:pPr>
    </w:p>
    <w:p w:rsidR="004A6D11" w:rsidRDefault="004A6D11" w:rsidP="004A6D11">
      <w:pPr>
        <w:jc w:val="left"/>
        <w:rPr>
          <w:sz w:val="24"/>
          <w:szCs w:val="24"/>
        </w:rPr>
      </w:pPr>
      <w:r w:rsidRPr="00A925EC">
        <w:rPr>
          <w:sz w:val="24"/>
          <w:szCs w:val="24"/>
        </w:rPr>
        <w:t>The size of the target Aboriginal population in the Kimberley is substantial.  In 2011 the ABS Census reported an Aboriginal population in the region of 17,022, 46% of the region’s population (KDC 2014).   According to Kimberley Population Health Unit (KPHU) data there are at least 1600 Aboriginal children aged 0 – 4 years old in the region and, every year, at least another 300 Aboriginal babies are born.  There are also nearly 1,700 Aboriginal children aged 5-9 years. In total, there are nearly 5,000 Aboriginal children aged up to 15 years across the Kimberley.   This is the group that will benefit most from prevention and early intervention.</w:t>
      </w:r>
      <w:r>
        <w:rPr>
          <w:sz w:val="24"/>
          <w:szCs w:val="24"/>
        </w:rPr>
        <w:t xml:space="preserve">  Indeed, they will benefit for their entire lives.</w:t>
      </w:r>
    </w:p>
    <w:p w:rsidR="004A6D11" w:rsidRDefault="004A6D11" w:rsidP="001B3E1F">
      <w:pPr>
        <w:autoSpaceDE w:val="0"/>
        <w:autoSpaceDN w:val="0"/>
        <w:adjustRightInd w:val="0"/>
        <w:jc w:val="left"/>
        <w:rPr>
          <w:rFonts w:cs="TTE2228400t00"/>
          <w:b/>
          <w:color w:val="323E4F" w:themeColor="text2" w:themeShade="BF"/>
          <w:sz w:val="28"/>
          <w:szCs w:val="28"/>
          <w:lang w:eastAsia="en-AU"/>
        </w:rPr>
      </w:pPr>
    </w:p>
    <w:p w:rsidR="0016120F" w:rsidRPr="004A6D11" w:rsidRDefault="001B3E1F" w:rsidP="001B3E1F">
      <w:pPr>
        <w:autoSpaceDE w:val="0"/>
        <w:autoSpaceDN w:val="0"/>
        <w:adjustRightInd w:val="0"/>
        <w:jc w:val="left"/>
        <w:rPr>
          <w:rFonts w:cs="TTE2228400t00"/>
          <w:b/>
          <w:color w:val="1F4E79" w:themeColor="accent1" w:themeShade="80"/>
          <w:sz w:val="28"/>
          <w:szCs w:val="28"/>
          <w:lang w:eastAsia="en-AU"/>
        </w:rPr>
      </w:pPr>
      <w:r w:rsidRPr="004A6D11">
        <w:rPr>
          <w:rFonts w:cs="TTE2228400t00"/>
          <w:b/>
          <w:color w:val="1F4E79" w:themeColor="accent1" w:themeShade="80"/>
          <w:sz w:val="28"/>
          <w:szCs w:val="28"/>
          <w:lang w:eastAsia="en-AU"/>
        </w:rPr>
        <w:t>CURRENT SERVICE DELIVERY TO REMOTE KIMBERLEY COMMUNITIES</w:t>
      </w:r>
    </w:p>
    <w:p w:rsidR="001B3E1F" w:rsidRDefault="001B3E1F" w:rsidP="001B3E1F">
      <w:pPr>
        <w:autoSpaceDE w:val="0"/>
        <w:autoSpaceDN w:val="0"/>
        <w:adjustRightInd w:val="0"/>
        <w:jc w:val="left"/>
        <w:rPr>
          <w:rFonts w:cs="TTE2228400t00"/>
          <w:b/>
          <w:color w:val="323E4F" w:themeColor="text2" w:themeShade="BF"/>
          <w:sz w:val="28"/>
          <w:szCs w:val="28"/>
          <w:lang w:eastAsia="en-AU"/>
        </w:rPr>
      </w:pPr>
    </w:p>
    <w:p w:rsidR="00FC4717" w:rsidRDefault="00275E0E" w:rsidP="00FC4717">
      <w:pPr>
        <w:autoSpaceDE w:val="0"/>
        <w:autoSpaceDN w:val="0"/>
        <w:adjustRightInd w:val="0"/>
        <w:jc w:val="left"/>
        <w:rPr>
          <w:rFonts w:cs="TTE2228400t00"/>
          <w:sz w:val="24"/>
          <w:szCs w:val="24"/>
          <w:lang w:eastAsia="en-AU"/>
        </w:rPr>
      </w:pPr>
      <w:r w:rsidRPr="00275E0E">
        <w:rPr>
          <w:rFonts w:cs="TTE2228400t00"/>
          <w:sz w:val="24"/>
          <w:szCs w:val="24"/>
          <w:lang w:eastAsia="en-AU"/>
        </w:rPr>
        <w:t xml:space="preserve">Primary health care services to remote Kimberley communities are provided either by Kimberley Population Health Unit (KPHU) </w:t>
      </w:r>
      <w:r>
        <w:rPr>
          <w:rFonts w:cs="TTE2228400t00"/>
          <w:sz w:val="24"/>
          <w:szCs w:val="24"/>
          <w:lang w:eastAsia="en-AU"/>
        </w:rPr>
        <w:t xml:space="preserve">or one of the </w:t>
      </w:r>
      <w:r w:rsidR="00AC6A33">
        <w:rPr>
          <w:rFonts w:cs="TTE2228400t00"/>
          <w:sz w:val="24"/>
          <w:szCs w:val="24"/>
          <w:lang w:eastAsia="en-AU"/>
        </w:rPr>
        <w:t>six</w:t>
      </w:r>
      <w:r w:rsidR="00654EAE">
        <w:rPr>
          <w:rStyle w:val="FootnoteReference"/>
          <w:rFonts w:cs="TTE2228400t00"/>
          <w:sz w:val="24"/>
          <w:szCs w:val="24"/>
          <w:lang w:eastAsia="en-AU"/>
        </w:rPr>
        <w:footnoteReference w:id="4"/>
      </w:r>
      <w:r>
        <w:rPr>
          <w:rFonts w:cs="TTE2228400t00"/>
          <w:sz w:val="24"/>
          <w:szCs w:val="24"/>
          <w:lang w:eastAsia="en-AU"/>
        </w:rPr>
        <w:t xml:space="preserve"> Aboriginal Community Controlled Health Services</w:t>
      </w:r>
      <w:r w:rsidR="00D1590C">
        <w:rPr>
          <w:rFonts w:cs="TTE2228400t00"/>
          <w:sz w:val="24"/>
          <w:szCs w:val="24"/>
          <w:lang w:eastAsia="en-AU"/>
        </w:rPr>
        <w:t xml:space="preserve"> </w:t>
      </w:r>
      <w:r w:rsidR="00D1590C" w:rsidRPr="00AC6A33">
        <w:rPr>
          <w:rFonts w:cs="TTE2228400t00"/>
          <w:sz w:val="24"/>
          <w:szCs w:val="24"/>
          <w:lang w:eastAsia="en-AU"/>
        </w:rPr>
        <w:t>(ACCHS)</w:t>
      </w:r>
      <w:r w:rsidRPr="00AC6A33">
        <w:rPr>
          <w:rFonts w:cs="TTE2228400t00"/>
          <w:sz w:val="24"/>
          <w:szCs w:val="24"/>
          <w:lang w:eastAsia="en-AU"/>
        </w:rPr>
        <w:t xml:space="preserve"> in the region.  </w:t>
      </w:r>
      <w:r w:rsidR="003D1E65" w:rsidRPr="00AC6A33">
        <w:rPr>
          <w:rFonts w:cs="TTE2228400t00"/>
          <w:sz w:val="24"/>
          <w:szCs w:val="24"/>
          <w:lang w:eastAsia="en-AU"/>
        </w:rPr>
        <w:t>The exception to this is i</w:t>
      </w:r>
      <w:r w:rsidRPr="00AC6A33">
        <w:rPr>
          <w:rFonts w:cs="TTE2228400t00"/>
          <w:sz w:val="24"/>
          <w:szCs w:val="24"/>
          <w:lang w:eastAsia="en-AU"/>
        </w:rPr>
        <w:t>n the Fitzroy Valley</w:t>
      </w:r>
      <w:r w:rsidR="003D1E65" w:rsidRPr="00AC6A33">
        <w:rPr>
          <w:rFonts w:cs="TTE2228400t00"/>
          <w:sz w:val="24"/>
          <w:szCs w:val="24"/>
          <w:lang w:eastAsia="en-AU"/>
        </w:rPr>
        <w:t xml:space="preserve"> where</w:t>
      </w:r>
      <w:r w:rsidRPr="00AC6A33">
        <w:rPr>
          <w:rFonts w:cs="TTE2228400t00"/>
          <w:sz w:val="24"/>
          <w:szCs w:val="24"/>
          <w:lang w:eastAsia="en-AU"/>
        </w:rPr>
        <w:t>, under the auspices of the Fitzroy Valley Partnership</w:t>
      </w:r>
      <w:r w:rsidR="003D1E65" w:rsidRPr="00AC6A33">
        <w:rPr>
          <w:rFonts w:cs="TTE2228400t00"/>
          <w:sz w:val="24"/>
          <w:szCs w:val="24"/>
          <w:lang w:eastAsia="en-AU"/>
        </w:rPr>
        <w:t>,</w:t>
      </w:r>
      <w:r w:rsidRPr="00AC6A33">
        <w:rPr>
          <w:rFonts w:cs="TTE2228400t00"/>
          <w:sz w:val="24"/>
          <w:szCs w:val="24"/>
          <w:lang w:eastAsia="en-AU"/>
        </w:rPr>
        <w:t xml:space="preserve"> clinical services are provided by KPHU</w:t>
      </w:r>
      <w:r w:rsidR="003663B1" w:rsidRPr="00AC6A33">
        <w:rPr>
          <w:rFonts w:cs="TTE2228400t00"/>
          <w:sz w:val="24"/>
          <w:szCs w:val="24"/>
          <w:lang w:eastAsia="en-AU"/>
        </w:rPr>
        <w:t xml:space="preserve"> and the RFDS</w:t>
      </w:r>
      <w:r w:rsidRPr="00AC6A33">
        <w:rPr>
          <w:rFonts w:cs="TTE2228400t00"/>
          <w:sz w:val="24"/>
          <w:szCs w:val="24"/>
          <w:lang w:eastAsia="en-AU"/>
        </w:rPr>
        <w:t xml:space="preserve"> while Ningilingarri Cultural Health Services focusses on health promotion and prevention. </w:t>
      </w:r>
      <w:r w:rsidR="00FC4717" w:rsidRPr="00AC6A33">
        <w:rPr>
          <w:rFonts w:cs="TTE2228400t00"/>
          <w:sz w:val="24"/>
          <w:szCs w:val="24"/>
          <w:lang w:eastAsia="en-AU"/>
        </w:rPr>
        <w:t xml:space="preserve"> This model of delivery, based on the Fitzroy Valley Health Partnership with WACHS </w:t>
      </w:r>
      <w:r w:rsidR="00AC6A33" w:rsidRPr="00AC6A33">
        <w:rPr>
          <w:rFonts w:cs="TTE2228400t00"/>
          <w:sz w:val="24"/>
          <w:szCs w:val="24"/>
          <w:lang w:eastAsia="en-AU"/>
        </w:rPr>
        <w:t>/</w:t>
      </w:r>
      <w:r w:rsidR="00FC4717" w:rsidRPr="00AC6A33">
        <w:rPr>
          <w:rFonts w:cs="TTE2228400t00"/>
          <w:sz w:val="24"/>
          <w:szCs w:val="24"/>
          <w:lang w:eastAsia="en-AU"/>
        </w:rPr>
        <w:t xml:space="preserve"> KPHU, was established after extensive community consultations. As a result, Nindilingarri Cultural Health Services hold the mandate as the Custodian for health in the Fitzroy Valley.</w:t>
      </w:r>
    </w:p>
    <w:p w:rsidR="00275E0E" w:rsidRDefault="00275E0E" w:rsidP="001B3E1F">
      <w:pPr>
        <w:autoSpaceDE w:val="0"/>
        <w:autoSpaceDN w:val="0"/>
        <w:adjustRightInd w:val="0"/>
        <w:jc w:val="left"/>
        <w:rPr>
          <w:rFonts w:cs="TTE2228400t00"/>
          <w:sz w:val="24"/>
          <w:szCs w:val="24"/>
          <w:lang w:eastAsia="en-AU"/>
        </w:rPr>
      </w:pPr>
    </w:p>
    <w:p w:rsidR="00275E0E" w:rsidRDefault="00D1590C" w:rsidP="001B3E1F">
      <w:pPr>
        <w:autoSpaceDE w:val="0"/>
        <w:autoSpaceDN w:val="0"/>
        <w:adjustRightInd w:val="0"/>
        <w:jc w:val="left"/>
        <w:rPr>
          <w:rFonts w:cs="TTE2228400t00"/>
          <w:sz w:val="24"/>
          <w:szCs w:val="24"/>
          <w:lang w:eastAsia="en-AU"/>
        </w:rPr>
      </w:pPr>
      <w:r>
        <w:rPr>
          <w:rFonts w:cs="TTE2228400t00"/>
          <w:sz w:val="24"/>
          <w:szCs w:val="24"/>
          <w:lang w:eastAsia="en-AU"/>
        </w:rPr>
        <w:t>A breakdown of</w:t>
      </w:r>
      <w:r w:rsidR="00275E0E">
        <w:rPr>
          <w:rFonts w:cs="TTE2228400t00"/>
          <w:sz w:val="24"/>
          <w:szCs w:val="24"/>
          <w:lang w:eastAsia="en-AU"/>
        </w:rPr>
        <w:t xml:space="preserve"> primary health </w:t>
      </w:r>
      <w:r w:rsidR="00D9595A">
        <w:rPr>
          <w:rFonts w:cs="TTE2228400t00"/>
          <w:sz w:val="24"/>
          <w:szCs w:val="24"/>
          <w:lang w:eastAsia="en-AU"/>
        </w:rPr>
        <w:t xml:space="preserve">care </w:t>
      </w:r>
      <w:r w:rsidR="00275E0E">
        <w:rPr>
          <w:rFonts w:cs="TTE2228400t00"/>
          <w:sz w:val="24"/>
          <w:szCs w:val="24"/>
          <w:lang w:eastAsia="en-AU"/>
        </w:rPr>
        <w:t>provider</w:t>
      </w:r>
      <w:r>
        <w:rPr>
          <w:rFonts w:cs="TTE2228400t00"/>
          <w:sz w:val="24"/>
          <w:szCs w:val="24"/>
          <w:lang w:eastAsia="en-AU"/>
        </w:rPr>
        <w:t>s</w:t>
      </w:r>
      <w:r w:rsidR="00275E0E">
        <w:rPr>
          <w:rFonts w:cs="TTE2228400t00"/>
          <w:sz w:val="24"/>
          <w:szCs w:val="24"/>
          <w:lang w:eastAsia="en-AU"/>
        </w:rPr>
        <w:t xml:space="preserve"> for larger remote communities</w:t>
      </w:r>
      <w:r w:rsidR="00353EA4">
        <w:rPr>
          <w:rFonts w:cs="TTE2228400t00"/>
          <w:sz w:val="24"/>
          <w:szCs w:val="24"/>
          <w:lang w:eastAsia="en-AU"/>
        </w:rPr>
        <w:t xml:space="preserve"> in the Kimberley</w:t>
      </w:r>
      <w:r w:rsidR="00275E0E">
        <w:rPr>
          <w:rFonts w:cs="TTE2228400t00"/>
          <w:sz w:val="24"/>
          <w:szCs w:val="24"/>
          <w:lang w:eastAsia="en-AU"/>
        </w:rPr>
        <w:t xml:space="preserve"> </w:t>
      </w:r>
      <w:r>
        <w:rPr>
          <w:rFonts w:cs="TTE2228400t00"/>
          <w:sz w:val="24"/>
          <w:szCs w:val="24"/>
          <w:lang w:eastAsia="en-AU"/>
        </w:rPr>
        <w:t xml:space="preserve">is </w:t>
      </w:r>
      <w:r w:rsidR="00275E0E">
        <w:rPr>
          <w:rFonts w:cs="TTE2228400t00"/>
          <w:sz w:val="24"/>
          <w:szCs w:val="24"/>
          <w:lang w:eastAsia="en-AU"/>
        </w:rPr>
        <w:t xml:space="preserve">available at Appendix 1. </w:t>
      </w:r>
    </w:p>
    <w:p w:rsidR="000F29B5" w:rsidRDefault="000F29B5" w:rsidP="001B3E1F">
      <w:pPr>
        <w:autoSpaceDE w:val="0"/>
        <w:autoSpaceDN w:val="0"/>
        <w:adjustRightInd w:val="0"/>
        <w:jc w:val="left"/>
        <w:rPr>
          <w:rFonts w:cs="TTE2228400t00"/>
          <w:sz w:val="24"/>
          <w:szCs w:val="24"/>
          <w:lang w:eastAsia="en-AU"/>
        </w:rPr>
      </w:pPr>
    </w:p>
    <w:p w:rsidR="000F29B5" w:rsidRDefault="000F29B5" w:rsidP="001B3E1F">
      <w:pPr>
        <w:autoSpaceDE w:val="0"/>
        <w:autoSpaceDN w:val="0"/>
        <w:adjustRightInd w:val="0"/>
        <w:jc w:val="left"/>
        <w:rPr>
          <w:rFonts w:cs="TTE2228400t00"/>
          <w:sz w:val="24"/>
          <w:szCs w:val="24"/>
          <w:lang w:eastAsia="en-AU"/>
        </w:rPr>
      </w:pPr>
      <w:r>
        <w:rPr>
          <w:rFonts w:cs="TTE2228400t00"/>
          <w:sz w:val="24"/>
          <w:szCs w:val="24"/>
          <w:lang w:eastAsia="en-AU"/>
        </w:rPr>
        <w:t xml:space="preserve">The model of primary health service delivery used in the region </w:t>
      </w:r>
      <w:r w:rsidR="00FC4717">
        <w:rPr>
          <w:rFonts w:cs="TTE2228400t00"/>
          <w:sz w:val="24"/>
          <w:szCs w:val="24"/>
          <w:lang w:eastAsia="en-AU"/>
        </w:rPr>
        <w:t>reflects</w:t>
      </w:r>
      <w:r>
        <w:rPr>
          <w:rFonts w:cs="TTE2228400t00"/>
          <w:sz w:val="24"/>
          <w:szCs w:val="24"/>
          <w:lang w:eastAsia="en-AU"/>
        </w:rPr>
        <w:t xml:space="preserve"> the model described in the Kimberley Aboriginal Health Plan 2012-15, specifically </w:t>
      </w:r>
      <w:r w:rsidR="00E209A8">
        <w:rPr>
          <w:rFonts w:cs="TTE2228400t00"/>
          <w:sz w:val="24"/>
          <w:szCs w:val="24"/>
          <w:lang w:eastAsia="en-AU"/>
        </w:rPr>
        <w:t>primary health care is</w:t>
      </w:r>
      <w:r>
        <w:rPr>
          <w:rFonts w:cs="TTE2228400t00"/>
          <w:sz w:val="24"/>
          <w:szCs w:val="24"/>
          <w:lang w:eastAsia="en-AU"/>
        </w:rPr>
        <w:t>:</w:t>
      </w:r>
    </w:p>
    <w:p w:rsidR="000F29B5" w:rsidRDefault="000F29B5" w:rsidP="001B3E1F">
      <w:pPr>
        <w:autoSpaceDE w:val="0"/>
        <w:autoSpaceDN w:val="0"/>
        <w:adjustRightInd w:val="0"/>
        <w:jc w:val="left"/>
        <w:rPr>
          <w:rFonts w:cs="TTE2228400t00"/>
          <w:sz w:val="24"/>
          <w:szCs w:val="24"/>
          <w:lang w:eastAsia="en-AU"/>
        </w:rPr>
      </w:pP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Freely available and accessible.</w:t>
      </w: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Provided locally and managed locally or regionally, with significant Aboriginal community ‘buy in’.</w:t>
      </w: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Cultural health practices are valued and cultural beliefs about health are preserved.</w:t>
      </w:r>
    </w:p>
    <w:p w:rsidR="00FC4717" w:rsidRPr="00FC4717" w:rsidRDefault="00FC4717" w:rsidP="00FC4717">
      <w:pPr>
        <w:pStyle w:val="ListParagraph"/>
        <w:numPr>
          <w:ilvl w:val="0"/>
          <w:numId w:val="29"/>
        </w:numPr>
        <w:rPr>
          <w:rFonts w:asciiTheme="minorHAnsi" w:hAnsiTheme="minorHAnsi"/>
          <w:i/>
          <w:color w:val="1F4E79" w:themeColor="accent1" w:themeShade="80"/>
        </w:rPr>
      </w:pPr>
      <w:r w:rsidRPr="00FC4717">
        <w:rPr>
          <w:rFonts w:asciiTheme="minorHAnsi" w:hAnsiTheme="minorHAnsi"/>
          <w:i/>
          <w:color w:val="1F4E79" w:themeColor="accent1" w:themeShade="80"/>
        </w:rPr>
        <w:t>A holistic approach to health issues is adopted, encompassing medical, psychological, family, social and cultural dimensions which may require an inter-agency or team-based approach. This approach requires local leadership by services who hold local and cultural knowledge and history.</w:t>
      </w: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Generalist health staff provide most care for conditions which are common in the region, even if in urban settings these conditions are mainly managed by specialised services.  In the Kimberley this includes conditions such as diabetes including foot care, chronic kidney disease, growth faltering in children, acute and chronic lung conditions, sexually transmitted infections and cardiovascular risk factors.</w:t>
      </w: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Rather than a focus on clinical service provision, local specialised services (regional medical specialists, regional allied health staff, regional specialised nursing staff etc) provide a greater amount of education and support for local staff than they might provide in an urban setting to support generalist provision of care (eg podiatrists support PHC staff to provide routine foot care for diabetics without significant foot problems).  Direct clinical services are primarily only provided to patients with high/complex care needs.</w:t>
      </w:r>
    </w:p>
    <w:p w:rsidR="000F29B5" w:rsidRPr="00407506"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Provision of medical specialist services involves substantial regional input and management of waiting lists to maximise productivity.</w:t>
      </w:r>
    </w:p>
    <w:p w:rsidR="000F29B5" w:rsidRDefault="000F29B5" w:rsidP="00445DFA">
      <w:pPr>
        <w:pStyle w:val="ListParagraph"/>
        <w:numPr>
          <w:ilvl w:val="0"/>
          <w:numId w:val="29"/>
        </w:numPr>
        <w:rPr>
          <w:rFonts w:asciiTheme="minorHAnsi" w:hAnsiTheme="minorHAnsi"/>
          <w:i/>
          <w:color w:val="1F4E79" w:themeColor="accent1" w:themeShade="80"/>
        </w:rPr>
      </w:pPr>
      <w:r w:rsidRPr="00407506">
        <w:rPr>
          <w:rFonts w:asciiTheme="minorHAnsi" w:hAnsiTheme="minorHAnsi"/>
          <w:i/>
          <w:color w:val="1F4E79" w:themeColor="accent1" w:themeShade="80"/>
        </w:rPr>
        <w:t>Collaborative partnerships exist with other community and government bodies involved in Aboriginal health.</w:t>
      </w:r>
    </w:p>
    <w:p w:rsidR="00353EA4" w:rsidRDefault="00353EA4" w:rsidP="00353EA4">
      <w:pPr>
        <w:jc w:val="left"/>
        <w:rPr>
          <w:i/>
          <w:color w:val="1F4E79" w:themeColor="accent1" w:themeShade="80"/>
        </w:rPr>
      </w:pPr>
    </w:p>
    <w:p w:rsidR="00353EA4" w:rsidRDefault="00353EA4" w:rsidP="001E2837">
      <w:pPr>
        <w:autoSpaceDE w:val="0"/>
        <w:autoSpaceDN w:val="0"/>
        <w:adjustRightInd w:val="0"/>
        <w:jc w:val="left"/>
        <w:rPr>
          <w:rFonts w:cs="TTE2228400t00"/>
          <w:sz w:val="24"/>
          <w:szCs w:val="24"/>
          <w:lang w:eastAsia="en-AU"/>
        </w:rPr>
      </w:pPr>
      <w:r w:rsidRPr="001E2837">
        <w:rPr>
          <w:sz w:val="24"/>
          <w:szCs w:val="24"/>
        </w:rPr>
        <w:t xml:space="preserve">Evidence of the effectiveness of this type of service delivery model was provided by the WA government’s review of services </w:t>
      </w:r>
      <w:r w:rsidR="001E2837">
        <w:rPr>
          <w:sz w:val="24"/>
          <w:szCs w:val="24"/>
        </w:rPr>
        <w:t xml:space="preserve">and the publication of </w:t>
      </w:r>
      <w:r w:rsidR="001E2837" w:rsidRPr="001E2837">
        <w:rPr>
          <w:rFonts w:cs="TTE2228400t00"/>
          <w:sz w:val="24"/>
          <w:szCs w:val="24"/>
          <w:lang w:eastAsia="en-AU"/>
        </w:rPr>
        <w:t xml:space="preserve">the Holman Report. Professor Holman examined the effectiveness of </w:t>
      </w:r>
      <w:r w:rsidR="00D9595A">
        <w:rPr>
          <w:rFonts w:cs="TTE2228400t00"/>
          <w:sz w:val="24"/>
          <w:szCs w:val="24"/>
          <w:lang w:eastAsia="en-AU"/>
        </w:rPr>
        <w:t>funded</w:t>
      </w:r>
      <w:r w:rsidR="00D9595A" w:rsidRPr="001E2837">
        <w:rPr>
          <w:rFonts w:cs="TTE2228400t00"/>
          <w:sz w:val="24"/>
          <w:szCs w:val="24"/>
          <w:lang w:eastAsia="en-AU"/>
        </w:rPr>
        <w:t xml:space="preserve"> </w:t>
      </w:r>
      <w:r w:rsidR="001E2837" w:rsidRPr="001E2837">
        <w:rPr>
          <w:rFonts w:cs="TTE2228400t00"/>
          <w:sz w:val="24"/>
          <w:szCs w:val="24"/>
          <w:lang w:eastAsia="en-AU"/>
        </w:rPr>
        <w:t>services</w:t>
      </w:r>
      <w:r w:rsidR="001E2837">
        <w:rPr>
          <w:rFonts w:cs="TTE2228400t00"/>
          <w:sz w:val="24"/>
          <w:szCs w:val="24"/>
          <w:lang w:eastAsia="en-AU"/>
        </w:rPr>
        <w:t>’</w:t>
      </w:r>
      <w:r w:rsidR="001E2837" w:rsidRPr="001E2837">
        <w:rPr>
          <w:rFonts w:cs="TTE2228400t00"/>
          <w:sz w:val="24"/>
          <w:szCs w:val="24"/>
          <w:lang w:eastAsia="en-AU"/>
        </w:rPr>
        <w:t xml:space="preserve"> </w:t>
      </w:r>
      <w:r w:rsidR="001E2837" w:rsidRPr="001E2837">
        <w:rPr>
          <w:rFonts w:cs="TTE2228400t00"/>
          <w:i/>
          <w:sz w:val="24"/>
          <w:szCs w:val="24"/>
          <w:lang w:eastAsia="en-AU"/>
        </w:rPr>
        <w:t>Closing the Gap</w:t>
      </w:r>
      <w:r w:rsidR="001E2837" w:rsidRPr="001E2837">
        <w:rPr>
          <w:rFonts w:cs="TTE2228400t00"/>
          <w:sz w:val="24"/>
          <w:szCs w:val="24"/>
          <w:lang w:eastAsia="en-AU"/>
        </w:rPr>
        <w:t xml:space="preserve"> programmes and endorsed the quality and impact of Kimberley-based services. </w:t>
      </w:r>
    </w:p>
    <w:p w:rsidR="001E2837" w:rsidRDefault="001E2837" w:rsidP="001E2837">
      <w:pPr>
        <w:autoSpaceDE w:val="0"/>
        <w:autoSpaceDN w:val="0"/>
        <w:adjustRightInd w:val="0"/>
        <w:jc w:val="left"/>
        <w:rPr>
          <w:rFonts w:cs="TTE2228400t00"/>
          <w:sz w:val="24"/>
          <w:szCs w:val="24"/>
          <w:lang w:eastAsia="en-AU"/>
        </w:rPr>
      </w:pPr>
    </w:p>
    <w:p w:rsidR="001E2837" w:rsidRPr="001E2837" w:rsidRDefault="001E2837" w:rsidP="001E2837">
      <w:pPr>
        <w:autoSpaceDE w:val="0"/>
        <w:autoSpaceDN w:val="0"/>
        <w:adjustRightInd w:val="0"/>
        <w:jc w:val="left"/>
        <w:rPr>
          <w:sz w:val="24"/>
          <w:szCs w:val="24"/>
        </w:rPr>
      </w:pPr>
      <w:r w:rsidRPr="001E2837">
        <w:rPr>
          <w:rFonts w:ascii="Calibri" w:hAnsi="Calibri" w:cs="Calibri"/>
          <w:color w:val="000000"/>
          <w:sz w:val="24"/>
          <w:szCs w:val="24"/>
          <w:lang w:val="en-AU"/>
        </w:rPr>
        <w:t xml:space="preserve">Many more Aboriginal people in remote communities are able to access health care </w:t>
      </w:r>
      <w:r w:rsidR="007A47E5">
        <w:rPr>
          <w:rFonts w:ascii="Calibri" w:hAnsi="Calibri" w:cs="Calibri"/>
          <w:color w:val="000000"/>
          <w:sz w:val="24"/>
          <w:szCs w:val="24"/>
          <w:lang w:val="en-AU"/>
        </w:rPr>
        <w:t>since</w:t>
      </w:r>
      <w:r w:rsidRPr="001E2837">
        <w:rPr>
          <w:rFonts w:ascii="Calibri" w:hAnsi="Calibri" w:cs="Calibri"/>
          <w:color w:val="000000"/>
          <w:sz w:val="24"/>
          <w:szCs w:val="24"/>
          <w:lang w:val="en-AU"/>
        </w:rPr>
        <w:t xml:space="preserve"> the establishment of Aboriginal Community Controlled Health Services (ACCHS). Barriers to access focus on factors of availability</w:t>
      </w:r>
      <w:r w:rsidR="007A47E5">
        <w:rPr>
          <w:rFonts w:ascii="Calibri" w:hAnsi="Calibri" w:cs="Calibri"/>
          <w:color w:val="000000"/>
          <w:sz w:val="24"/>
          <w:szCs w:val="24"/>
          <w:lang w:val="en-AU"/>
        </w:rPr>
        <w:t>,</w:t>
      </w:r>
      <w:r w:rsidRPr="001E2837">
        <w:rPr>
          <w:rFonts w:ascii="Calibri" w:hAnsi="Calibri" w:cs="Calibri"/>
          <w:color w:val="000000"/>
          <w:sz w:val="24"/>
          <w:szCs w:val="24"/>
          <w:lang w:val="en-AU"/>
        </w:rPr>
        <w:t xml:space="preserve"> affordability</w:t>
      </w:r>
      <w:r w:rsidR="007A47E5">
        <w:rPr>
          <w:rFonts w:ascii="Calibri" w:hAnsi="Calibri" w:cs="Calibri"/>
          <w:color w:val="000000"/>
          <w:sz w:val="24"/>
          <w:szCs w:val="24"/>
          <w:lang w:val="en-AU"/>
        </w:rPr>
        <w:t>,</w:t>
      </w:r>
      <w:r w:rsidRPr="001E2837">
        <w:rPr>
          <w:rFonts w:ascii="Calibri" w:hAnsi="Calibri" w:cs="Calibri"/>
          <w:color w:val="000000"/>
          <w:sz w:val="24"/>
          <w:szCs w:val="24"/>
          <w:lang w:val="en-AU"/>
        </w:rPr>
        <w:t xml:space="preserve"> acceptability and appropriateness.</w:t>
      </w:r>
      <w:r w:rsidRPr="001E2837">
        <w:rPr>
          <w:sz w:val="24"/>
          <w:szCs w:val="24"/>
        </w:rPr>
        <w:t xml:space="preserve">  </w:t>
      </w:r>
      <w:r w:rsidRPr="001E2837">
        <w:rPr>
          <w:rFonts w:ascii="Calibri" w:hAnsi="Calibri" w:cs="Calibri"/>
          <w:color w:val="000000"/>
          <w:sz w:val="24"/>
          <w:szCs w:val="24"/>
          <w:lang w:val="en-AU"/>
        </w:rPr>
        <w:t xml:space="preserve">Accessibility is the cornerstone of the ACCHS success regarding the extent to which the traditional barriers to health care access have been successfully broken down. </w:t>
      </w:r>
    </w:p>
    <w:p w:rsidR="00275E0E" w:rsidRDefault="00275E0E" w:rsidP="001B3E1F">
      <w:pPr>
        <w:autoSpaceDE w:val="0"/>
        <w:autoSpaceDN w:val="0"/>
        <w:adjustRightInd w:val="0"/>
        <w:jc w:val="left"/>
        <w:rPr>
          <w:rFonts w:cs="TTE2228400t00"/>
          <w:sz w:val="24"/>
          <w:szCs w:val="24"/>
          <w:lang w:eastAsia="en-AU"/>
        </w:rPr>
      </w:pPr>
    </w:p>
    <w:p w:rsidR="007A47E5" w:rsidRDefault="00470E9D" w:rsidP="00CC13FE">
      <w:pPr>
        <w:autoSpaceDE w:val="0"/>
        <w:autoSpaceDN w:val="0"/>
        <w:adjustRightInd w:val="0"/>
        <w:jc w:val="left"/>
        <w:rPr>
          <w:rFonts w:cs="TTE2228400t00"/>
          <w:sz w:val="24"/>
          <w:szCs w:val="24"/>
          <w:lang w:eastAsia="en-AU"/>
        </w:rPr>
      </w:pPr>
      <w:r>
        <w:rPr>
          <w:rFonts w:cs="TTE2228400t00"/>
          <w:sz w:val="24"/>
          <w:szCs w:val="24"/>
          <w:lang w:eastAsia="en-AU"/>
        </w:rPr>
        <w:t>However, r</w:t>
      </w:r>
      <w:r w:rsidR="00D1590C" w:rsidRPr="00CC13FE">
        <w:rPr>
          <w:rFonts w:cs="TTE2228400t00"/>
          <w:sz w:val="24"/>
          <w:szCs w:val="24"/>
          <w:lang w:eastAsia="en-AU"/>
        </w:rPr>
        <w:t xml:space="preserve">esourcing levels for individual </w:t>
      </w:r>
      <w:r w:rsidR="000F29B5">
        <w:rPr>
          <w:rFonts w:cs="TTE2228400t00"/>
          <w:sz w:val="24"/>
          <w:szCs w:val="24"/>
          <w:lang w:eastAsia="en-AU"/>
        </w:rPr>
        <w:t>health providers</w:t>
      </w:r>
      <w:r w:rsidR="00D1590C" w:rsidRPr="00CC13FE">
        <w:rPr>
          <w:rFonts w:cs="TTE2228400t00"/>
          <w:sz w:val="24"/>
          <w:szCs w:val="24"/>
          <w:lang w:eastAsia="en-AU"/>
        </w:rPr>
        <w:t xml:space="preserve"> compared to the high demand for their services mean</w:t>
      </w:r>
      <w:r w:rsidR="00CC13FE" w:rsidRPr="00CC13FE">
        <w:rPr>
          <w:rFonts w:cs="TTE2228400t00"/>
          <w:sz w:val="24"/>
          <w:szCs w:val="24"/>
          <w:lang w:eastAsia="en-AU"/>
        </w:rPr>
        <w:t>s</w:t>
      </w:r>
      <w:r w:rsidR="00D1590C" w:rsidRPr="00CC13FE">
        <w:rPr>
          <w:rFonts w:cs="TTE2228400t00"/>
          <w:sz w:val="24"/>
          <w:szCs w:val="24"/>
          <w:lang w:eastAsia="en-AU"/>
        </w:rPr>
        <w:t xml:space="preserve"> that the focus</w:t>
      </w:r>
      <w:r w:rsidR="00445DFA">
        <w:rPr>
          <w:rFonts w:cs="TTE2228400t00"/>
          <w:sz w:val="24"/>
          <w:szCs w:val="24"/>
          <w:lang w:eastAsia="en-AU"/>
        </w:rPr>
        <w:t xml:space="preserve"> </w:t>
      </w:r>
      <w:r w:rsidR="00D1590C" w:rsidRPr="00CC13FE">
        <w:rPr>
          <w:rFonts w:cs="TTE2228400t00"/>
          <w:sz w:val="24"/>
          <w:szCs w:val="24"/>
          <w:lang w:eastAsia="en-AU"/>
        </w:rPr>
        <w:t xml:space="preserve">has been on treating symptoms rather than preventing future occurrences. </w:t>
      </w:r>
      <w:r w:rsidR="00275E0E" w:rsidRPr="00CC13FE">
        <w:rPr>
          <w:rFonts w:cs="TTE2228400t00"/>
          <w:sz w:val="24"/>
          <w:szCs w:val="24"/>
          <w:lang w:eastAsia="en-AU"/>
        </w:rPr>
        <w:t xml:space="preserve">Due </w:t>
      </w:r>
      <w:r w:rsidR="003D1E65" w:rsidRPr="00CC13FE">
        <w:rPr>
          <w:rFonts w:cs="TTE2228400t00"/>
          <w:sz w:val="24"/>
          <w:szCs w:val="24"/>
          <w:lang w:eastAsia="en-AU"/>
        </w:rPr>
        <w:t>to the high burden of ill health in the Kimberley there is a</w:t>
      </w:r>
      <w:r w:rsidR="00CC13FE" w:rsidRPr="00CC13FE">
        <w:rPr>
          <w:rFonts w:cs="TTE2228400t00"/>
          <w:sz w:val="24"/>
          <w:szCs w:val="24"/>
          <w:lang w:eastAsia="en-AU"/>
        </w:rPr>
        <w:t xml:space="preserve"> necessary</w:t>
      </w:r>
      <w:r w:rsidR="003D1E65" w:rsidRPr="00CC13FE">
        <w:rPr>
          <w:rFonts w:cs="TTE2228400t00"/>
          <w:sz w:val="24"/>
          <w:szCs w:val="24"/>
          <w:lang w:eastAsia="en-AU"/>
        </w:rPr>
        <w:t xml:space="preserve"> clinical focus to most primary health care in remote communities - either delivering health treatments (eg treating sores, injuries and STIs) and/or identifying and managing chronic diseases (eg diabetes, rheumatic heart disease) or children at risk.  Few resources are available for primary prevention activities which stop people becoming sick in the first place or early intervention programmes to </w:t>
      </w:r>
      <w:r w:rsidR="003D1E65" w:rsidRPr="00CC13FE">
        <w:rPr>
          <w:rFonts w:cs="TTE2228400t00"/>
          <w:sz w:val="24"/>
          <w:szCs w:val="24"/>
          <w:lang w:eastAsia="en-AU"/>
        </w:rPr>
        <w:lastRenderedPageBreak/>
        <w:t xml:space="preserve">motivate people showing the potential to acquire a chronic disease to take the steps necessary to avoid from doing so.   </w:t>
      </w:r>
    </w:p>
    <w:p w:rsidR="007A47E5" w:rsidRDefault="007A47E5" w:rsidP="00CC13FE">
      <w:pPr>
        <w:autoSpaceDE w:val="0"/>
        <w:autoSpaceDN w:val="0"/>
        <w:adjustRightInd w:val="0"/>
        <w:jc w:val="left"/>
        <w:rPr>
          <w:rFonts w:cs="TTE2228400t00"/>
          <w:sz w:val="24"/>
          <w:szCs w:val="24"/>
          <w:lang w:eastAsia="en-AU"/>
        </w:rPr>
      </w:pPr>
    </w:p>
    <w:p w:rsidR="00D1590C" w:rsidRPr="00CC13FE" w:rsidRDefault="00D1590C" w:rsidP="00CC13FE">
      <w:pPr>
        <w:autoSpaceDE w:val="0"/>
        <w:autoSpaceDN w:val="0"/>
        <w:adjustRightInd w:val="0"/>
        <w:jc w:val="left"/>
        <w:rPr>
          <w:rFonts w:cs="TTE2228400t00"/>
          <w:sz w:val="24"/>
          <w:szCs w:val="24"/>
          <w:lang w:eastAsia="en-AU"/>
        </w:rPr>
      </w:pPr>
      <w:r w:rsidRPr="00CC13FE">
        <w:rPr>
          <w:sz w:val="24"/>
          <w:szCs w:val="24"/>
        </w:rPr>
        <w:t>Health service providers agree that continuing to do more of the same is likely to result in more of the same results. Instead, whilst maintaining the provision of services for people with diagnosed illnesses and servicing an increasing demand due to growth in the Aboriginal po</w:t>
      </w:r>
      <w:r w:rsidR="000F29B5">
        <w:rPr>
          <w:sz w:val="24"/>
          <w:szCs w:val="24"/>
        </w:rPr>
        <w:t>pulation (averaging 2% per year</w:t>
      </w:r>
      <w:r w:rsidR="000F29B5">
        <w:rPr>
          <w:rStyle w:val="FootnoteReference"/>
          <w:sz w:val="24"/>
          <w:szCs w:val="24"/>
        </w:rPr>
        <w:footnoteReference w:id="5"/>
      </w:r>
      <w:r w:rsidRPr="00CC13FE">
        <w:rPr>
          <w:sz w:val="24"/>
          <w:szCs w:val="24"/>
        </w:rPr>
        <w:t>), greater effort must be put into health promotion and early intervention activities which motivate people to take greater care of their own health.</w:t>
      </w:r>
    </w:p>
    <w:p w:rsidR="003D1E65" w:rsidRDefault="003D1E65" w:rsidP="003D1E65">
      <w:pPr>
        <w:autoSpaceDE w:val="0"/>
        <w:autoSpaceDN w:val="0"/>
        <w:adjustRightInd w:val="0"/>
        <w:jc w:val="left"/>
        <w:rPr>
          <w:rFonts w:cs="TTE2228400t00"/>
          <w:sz w:val="24"/>
          <w:szCs w:val="24"/>
          <w:lang w:eastAsia="en-AU"/>
        </w:rPr>
      </w:pPr>
    </w:p>
    <w:p w:rsidR="003D1E65" w:rsidRDefault="003D1E65" w:rsidP="003D1E65">
      <w:pPr>
        <w:autoSpaceDE w:val="0"/>
        <w:autoSpaceDN w:val="0"/>
        <w:adjustRightInd w:val="0"/>
        <w:jc w:val="left"/>
        <w:rPr>
          <w:rFonts w:cs="TTE2228400t00"/>
          <w:sz w:val="24"/>
          <w:szCs w:val="24"/>
          <w:lang w:eastAsia="en-AU"/>
        </w:rPr>
      </w:pPr>
      <w:r>
        <w:rPr>
          <w:rFonts w:cs="TTE2228400t00"/>
          <w:sz w:val="24"/>
          <w:szCs w:val="24"/>
          <w:lang w:eastAsia="en-AU"/>
        </w:rPr>
        <w:t>KAHPF advocates that there is a need to expand service delivery</w:t>
      </w:r>
      <w:r w:rsidR="00470E9D">
        <w:rPr>
          <w:rFonts w:cs="TTE2228400t00"/>
          <w:sz w:val="24"/>
          <w:szCs w:val="24"/>
          <w:lang w:eastAsia="en-AU"/>
        </w:rPr>
        <w:t xml:space="preserve"> to remote communities</w:t>
      </w:r>
      <w:r>
        <w:rPr>
          <w:rFonts w:cs="TTE2228400t00"/>
          <w:sz w:val="24"/>
          <w:szCs w:val="24"/>
          <w:lang w:eastAsia="en-AU"/>
        </w:rPr>
        <w:t xml:space="preserve"> to a true primary health care model which includes permanent employment of community-based health workers</w:t>
      </w:r>
      <w:r w:rsidR="00045E09">
        <w:rPr>
          <w:rFonts w:cs="TTE2228400t00"/>
          <w:sz w:val="24"/>
          <w:szCs w:val="24"/>
          <w:lang w:eastAsia="en-AU"/>
        </w:rPr>
        <w:t>/community service workers</w:t>
      </w:r>
      <w:r>
        <w:rPr>
          <w:rFonts w:cs="TTE2228400t00"/>
          <w:sz w:val="24"/>
          <w:szCs w:val="24"/>
          <w:lang w:eastAsia="en-AU"/>
        </w:rPr>
        <w:t xml:space="preserve"> who have a focus on</w:t>
      </w:r>
      <w:r w:rsidR="00045E09">
        <w:rPr>
          <w:rFonts w:cs="TTE2228400t00"/>
          <w:sz w:val="24"/>
          <w:szCs w:val="24"/>
          <w:lang w:eastAsia="en-AU"/>
        </w:rPr>
        <w:t xml:space="preserve"> community development,</w:t>
      </w:r>
      <w:r>
        <w:rPr>
          <w:rFonts w:cs="TTE2228400t00"/>
          <w:sz w:val="24"/>
          <w:szCs w:val="24"/>
          <w:lang w:eastAsia="en-AU"/>
        </w:rPr>
        <w:t xml:space="preserve"> prevention and early intervention.  This may necessitate additional resources</w:t>
      </w:r>
      <w:r w:rsidRPr="008564A8">
        <w:rPr>
          <w:rFonts w:cs="TTE2228400t00"/>
          <w:sz w:val="24"/>
          <w:szCs w:val="24"/>
          <w:lang w:eastAsia="en-AU"/>
        </w:rPr>
        <w:t xml:space="preserve"> up front, </w:t>
      </w:r>
      <w:r w:rsidR="0030690F">
        <w:rPr>
          <w:rFonts w:cs="TTE2228400t00"/>
          <w:sz w:val="24"/>
          <w:szCs w:val="24"/>
          <w:lang w:eastAsia="en-AU"/>
        </w:rPr>
        <w:t>particularly to address the provision of housing for Aboriginal Health</w:t>
      </w:r>
      <w:r w:rsidR="00045E09">
        <w:rPr>
          <w:rFonts w:cs="TTE2228400t00"/>
          <w:sz w:val="24"/>
          <w:szCs w:val="24"/>
          <w:lang w:eastAsia="en-AU"/>
        </w:rPr>
        <w:t>/Community</w:t>
      </w:r>
      <w:r w:rsidR="0030690F">
        <w:rPr>
          <w:rFonts w:cs="TTE2228400t00"/>
          <w:sz w:val="24"/>
          <w:szCs w:val="24"/>
          <w:lang w:eastAsia="en-AU"/>
        </w:rPr>
        <w:t xml:space="preserve"> Workers, </w:t>
      </w:r>
      <w:r w:rsidRPr="008564A8">
        <w:rPr>
          <w:rFonts w:cs="TTE2228400t00"/>
          <w:sz w:val="24"/>
          <w:szCs w:val="24"/>
          <w:lang w:eastAsia="en-AU"/>
        </w:rPr>
        <w:t xml:space="preserve">but the </w:t>
      </w:r>
      <w:r>
        <w:rPr>
          <w:rFonts w:cs="TTE2228400t00"/>
          <w:sz w:val="24"/>
          <w:szCs w:val="24"/>
          <w:lang w:eastAsia="en-AU"/>
        </w:rPr>
        <w:t xml:space="preserve">offset </w:t>
      </w:r>
      <w:r w:rsidRPr="008564A8">
        <w:rPr>
          <w:rFonts w:cs="TTE2228400t00"/>
          <w:sz w:val="24"/>
          <w:szCs w:val="24"/>
          <w:lang w:eastAsia="en-AU"/>
        </w:rPr>
        <w:t>i</w:t>
      </w:r>
      <w:r>
        <w:rPr>
          <w:rFonts w:cs="TTE2228400t00"/>
          <w:sz w:val="24"/>
          <w:szCs w:val="24"/>
          <w:lang w:eastAsia="en-AU"/>
        </w:rPr>
        <w:t>s a predictable reduction in</w:t>
      </w:r>
      <w:r w:rsidRPr="008564A8">
        <w:rPr>
          <w:rFonts w:cs="TTE2228400t00"/>
          <w:sz w:val="24"/>
          <w:szCs w:val="24"/>
          <w:lang w:eastAsia="en-AU"/>
        </w:rPr>
        <w:t xml:space="preserve"> the downstream demand on hospitals in the Kimberley and Perth, </w:t>
      </w:r>
      <w:r>
        <w:rPr>
          <w:rFonts w:cs="TTE2228400t00"/>
          <w:sz w:val="24"/>
          <w:szCs w:val="24"/>
          <w:lang w:eastAsia="en-AU"/>
        </w:rPr>
        <w:t xml:space="preserve">transfers and evacuations by </w:t>
      </w:r>
      <w:r w:rsidRPr="008564A8">
        <w:rPr>
          <w:rFonts w:cs="TTE2228400t00"/>
          <w:sz w:val="24"/>
          <w:szCs w:val="24"/>
          <w:lang w:eastAsia="en-AU"/>
        </w:rPr>
        <w:t>the RFDS, rehabilitation services etc</w:t>
      </w:r>
      <w:r>
        <w:rPr>
          <w:rFonts w:cs="TTE2228400t00"/>
          <w:sz w:val="24"/>
          <w:szCs w:val="24"/>
          <w:lang w:eastAsia="en-AU"/>
        </w:rPr>
        <w:t xml:space="preserve">. and reduced long </w:t>
      </w:r>
      <w:r w:rsidRPr="00470E9D">
        <w:rPr>
          <w:rFonts w:cs="TTE2228400t00"/>
          <w:sz w:val="24"/>
          <w:szCs w:val="24"/>
          <w:lang w:eastAsia="en-AU"/>
        </w:rPr>
        <w:t>term costs.   For example,</w:t>
      </w:r>
      <w:r w:rsidR="00045E09">
        <w:rPr>
          <w:rFonts w:cs="TTE2228400t00"/>
          <w:sz w:val="24"/>
          <w:szCs w:val="24"/>
          <w:lang w:eastAsia="en-AU"/>
        </w:rPr>
        <w:t xml:space="preserve"> taking the steps required to</w:t>
      </w:r>
      <w:r w:rsidRPr="00470E9D">
        <w:rPr>
          <w:rFonts w:cs="TTE2228400t00"/>
          <w:sz w:val="24"/>
          <w:szCs w:val="24"/>
          <w:lang w:eastAsia="en-AU"/>
        </w:rPr>
        <w:t xml:space="preserve"> enab</w:t>
      </w:r>
      <w:r w:rsidR="00045E09">
        <w:rPr>
          <w:rFonts w:cs="TTE2228400t00"/>
          <w:sz w:val="24"/>
          <w:szCs w:val="24"/>
          <w:lang w:eastAsia="en-AU"/>
        </w:rPr>
        <w:t>le</w:t>
      </w:r>
      <w:r w:rsidRPr="00470E9D">
        <w:rPr>
          <w:rFonts w:cs="TTE2228400t00"/>
          <w:sz w:val="24"/>
          <w:szCs w:val="24"/>
          <w:lang w:eastAsia="en-AU"/>
        </w:rPr>
        <w:t xml:space="preserve"> people to eat a healthy diet and exercise will both prevent and delay the onset of diabetes and reduce the demand on health serviced for regular monitoring, eye surgery, amputations and/or renal dialysis affecting people with severe diabetes. </w:t>
      </w:r>
      <w:r w:rsidR="0000527B" w:rsidRPr="00470E9D">
        <w:rPr>
          <w:rFonts w:cs="TTE2228400t00"/>
          <w:sz w:val="24"/>
          <w:szCs w:val="24"/>
          <w:lang w:eastAsia="en-AU"/>
        </w:rPr>
        <w:t xml:space="preserve"> The cost saved by avoiding the need for dialysis is in excess </w:t>
      </w:r>
      <w:r w:rsidR="00470E9D" w:rsidRPr="00470E9D">
        <w:rPr>
          <w:sz w:val="24"/>
          <w:szCs w:val="24"/>
        </w:rPr>
        <w:t>$100,000 per person per year in the Kimberley</w:t>
      </w:r>
      <w:r w:rsidR="00470E9D">
        <w:rPr>
          <w:rStyle w:val="FootnoteReference"/>
          <w:sz w:val="24"/>
          <w:szCs w:val="24"/>
        </w:rPr>
        <w:footnoteReference w:id="6"/>
      </w:r>
      <w:r w:rsidR="00470E9D" w:rsidRPr="00470E9D">
        <w:rPr>
          <w:sz w:val="24"/>
          <w:szCs w:val="24"/>
        </w:rPr>
        <w:t>.</w:t>
      </w:r>
      <w:r w:rsidR="00470E9D">
        <w:t xml:space="preserve"> </w:t>
      </w:r>
    </w:p>
    <w:p w:rsidR="000F29B5" w:rsidRDefault="000F29B5" w:rsidP="003D1E65">
      <w:pPr>
        <w:autoSpaceDE w:val="0"/>
        <w:autoSpaceDN w:val="0"/>
        <w:adjustRightInd w:val="0"/>
        <w:jc w:val="left"/>
        <w:rPr>
          <w:rFonts w:cs="TTE2228400t00"/>
          <w:sz w:val="24"/>
          <w:szCs w:val="24"/>
          <w:lang w:eastAsia="en-AU"/>
        </w:rPr>
      </w:pPr>
    </w:p>
    <w:p w:rsidR="00CA3FBD" w:rsidRDefault="00CA3FBD" w:rsidP="00CA3FBD">
      <w:pPr>
        <w:autoSpaceDE w:val="0"/>
        <w:autoSpaceDN w:val="0"/>
        <w:adjustRightInd w:val="0"/>
        <w:jc w:val="left"/>
        <w:rPr>
          <w:rFonts w:cs="TTE2228400t00"/>
          <w:b/>
          <w:sz w:val="28"/>
          <w:szCs w:val="28"/>
          <w:lang w:eastAsia="en-AU"/>
        </w:rPr>
      </w:pPr>
    </w:p>
    <w:p w:rsidR="00CA3FBD" w:rsidRDefault="00CA3FBD" w:rsidP="00CA3FBD">
      <w:pPr>
        <w:autoSpaceDE w:val="0"/>
        <w:autoSpaceDN w:val="0"/>
        <w:adjustRightInd w:val="0"/>
        <w:jc w:val="left"/>
        <w:rPr>
          <w:rFonts w:cs="TTE2228400t00"/>
          <w:b/>
          <w:color w:val="1F4E79" w:themeColor="accent1" w:themeShade="80"/>
          <w:sz w:val="28"/>
          <w:szCs w:val="28"/>
          <w:lang w:eastAsia="en-AU"/>
        </w:rPr>
      </w:pPr>
      <w:r w:rsidRPr="00CA3FBD">
        <w:rPr>
          <w:rFonts w:cs="TTE2228400t00"/>
          <w:b/>
          <w:color w:val="1F4E79" w:themeColor="accent1" w:themeShade="80"/>
          <w:sz w:val="28"/>
          <w:szCs w:val="28"/>
          <w:lang w:eastAsia="en-AU"/>
        </w:rPr>
        <w:t>SERVICE DELIVERY CHALLENGES</w:t>
      </w:r>
    </w:p>
    <w:p w:rsidR="00194251" w:rsidRPr="00194251" w:rsidRDefault="00194251" w:rsidP="00CA3FBD">
      <w:pPr>
        <w:autoSpaceDE w:val="0"/>
        <w:autoSpaceDN w:val="0"/>
        <w:adjustRightInd w:val="0"/>
        <w:jc w:val="left"/>
        <w:rPr>
          <w:rFonts w:cs="TTE2228400t00"/>
          <w:b/>
          <w:sz w:val="20"/>
          <w:szCs w:val="20"/>
          <w:lang w:eastAsia="en-AU"/>
        </w:rPr>
      </w:pPr>
    </w:p>
    <w:p w:rsidR="00CA3FBD" w:rsidRDefault="00CA3FBD" w:rsidP="00CA3FBD">
      <w:pPr>
        <w:autoSpaceDE w:val="0"/>
        <w:autoSpaceDN w:val="0"/>
        <w:adjustRightInd w:val="0"/>
        <w:jc w:val="left"/>
        <w:rPr>
          <w:rFonts w:cs="Arial"/>
          <w:sz w:val="24"/>
          <w:szCs w:val="24"/>
          <w:lang w:val="en-AU"/>
        </w:rPr>
      </w:pPr>
      <w:r w:rsidRPr="008564A8">
        <w:rPr>
          <w:rFonts w:cs="Arial"/>
          <w:sz w:val="24"/>
          <w:szCs w:val="24"/>
          <w:lang w:val="en-AU"/>
        </w:rPr>
        <w:t xml:space="preserve">The Accessibility/Remoteness Index of Australia (ARIA) </w:t>
      </w:r>
      <w:r>
        <w:rPr>
          <w:rFonts w:cs="Arial"/>
          <w:sz w:val="24"/>
          <w:szCs w:val="24"/>
          <w:lang w:val="en-AU"/>
        </w:rPr>
        <w:t xml:space="preserve">classification system contains </w:t>
      </w:r>
      <w:r w:rsidRPr="008564A8">
        <w:rPr>
          <w:rFonts w:cs="Arial"/>
          <w:sz w:val="24"/>
          <w:szCs w:val="24"/>
          <w:lang w:val="en-AU"/>
        </w:rPr>
        <w:t>5 categories ranging from Major Cities to Very Remote. A</w:t>
      </w:r>
      <w:r>
        <w:rPr>
          <w:rFonts w:cs="Arial"/>
          <w:sz w:val="24"/>
          <w:szCs w:val="24"/>
          <w:lang w:val="en-AU"/>
        </w:rPr>
        <w:t xml:space="preserve">lmost the entire Kimberley </w:t>
      </w:r>
      <w:r w:rsidRPr="008564A8">
        <w:rPr>
          <w:rFonts w:cs="Arial"/>
          <w:sz w:val="24"/>
          <w:szCs w:val="24"/>
          <w:lang w:val="en-AU"/>
        </w:rPr>
        <w:t>health region (97%) is classified by the ABS as Very Remote</w:t>
      </w:r>
      <w:r>
        <w:rPr>
          <w:rFonts w:cs="Arial"/>
          <w:sz w:val="24"/>
          <w:szCs w:val="24"/>
          <w:lang w:val="en-AU"/>
        </w:rPr>
        <w:t xml:space="preserve">. </w:t>
      </w:r>
      <w:r w:rsidRPr="008564A8">
        <w:rPr>
          <w:rFonts w:cs="Arial"/>
          <w:sz w:val="24"/>
          <w:szCs w:val="24"/>
          <w:lang w:val="en-AU"/>
        </w:rPr>
        <w:t xml:space="preserve">The other </w:t>
      </w:r>
      <w:r>
        <w:rPr>
          <w:rFonts w:cs="Arial"/>
          <w:sz w:val="24"/>
          <w:szCs w:val="24"/>
          <w:lang w:val="en-AU"/>
        </w:rPr>
        <w:t xml:space="preserve">3% (areas </w:t>
      </w:r>
      <w:r w:rsidRPr="008564A8">
        <w:rPr>
          <w:rFonts w:cs="Arial"/>
          <w:sz w:val="24"/>
          <w:szCs w:val="24"/>
          <w:lang w:val="en-AU"/>
        </w:rPr>
        <w:t xml:space="preserve">around </w:t>
      </w:r>
      <w:r>
        <w:rPr>
          <w:rFonts w:cs="Arial"/>
          <w:sz w:val="24"/>
          <w:szCs w:val="24"/>
          <w:lang w:val="en-AU"/>
        </w:rPr>
        <w:t>Broome and Kununurra) is Remote.</w:t>
      </w:r>
    </w:p>
    <w:p w:rsidR="00CA3FBD" w:rsidRDefault="00CA3FBD" w:rsidP="00CA3FBD">
      <w:pPr>
        <w:autoSpaceDE w:val="0"/>
        <w:autoSpaceDN w:val="0"/>
        <w:adjustRightInd w:val="0"/>
        <w:jc w:val="left"/>
        <w:rPr>
          <w:rFonts w:cs="Arial"/>
          <w:sz w:val="24"/>
          <w:szCs w:val="24"/>
          <w:lang w:val="en-AU"/>
        </w:rPr>
      </w:pPr>
    </w:p>
    <w:p w:rsidR="00CA3FBD" w:rsidRPr="00067197" w:rsidRDefault="00CA3FBD" w:rsidP="00CA3FBD">
      <w:pPr>
        <w:autoSpaceDE w:val="0"/>
        <w:autoSpaceDN w:val="0"/>
        <w:adjustRightInd w:val="0"/>
        <w:jc w:val="left"/>
        <w:rPr>
          <w:rFonts w:cs="Arial"/>
          <w:sz w:val="24"/>
          <w:szCs w:val="24"/>
          <w:lang w:val="en-AU"/>
        </w:rPr>
      </w:pPr>
      <w:r w:rsidRPr="00067197">
        <w:rPr>
          <w:rFonts w:cs="Arial"/>
          <w:sz w:val="24"/>
          <w:szCs w:val="24"/>
          <w:lang w:val="en-AU"/>
        </w:rPr>
        <w:t>The impacts of remoteness are manifold</w:t>
      </w:r>
      <w:r>
        <w:rPr>
          <w:rFonts w:cs="Arial"/>
          <w:sz w:val="24"/>
          <w:szCs w:val="24"/>
          <w:lang w:val="en-AU"/>
        </w:rPr>
        <w:t xml:space="preserve"> and include</w:t>
      </w:r>
      <w:r w:rsidRPr="00067197">
        <w:rPr>
          <w:rFonts w:cs="Arial"/>
          <w:sz w:val="24"/>
          <w:szCs w:val="24"/>
          <w:lang w:val="en-AU"/>
        </w:rPr>
        <w:t>:</w:t>
      </w:r>
    </w:p>
    <w:p w:rsidR="00CA3FBD" w:rsidRPr="00067197" w:rsidRDefault="00CA3FBD" w:rsidP="00CA3FBD">
      <w:pPr>
        <w:pStyle w:val="ListParagraph"/>
        <w:numPr>
          <w:ilvl w:val="0"/>
          <w:numId w:val="5"/>
        </w:numPr>
        <w:autoSpaceDE w:val="0"/>
        <w:autoSpaceDN w:val="0"/>
        <w:adjustRightInd w:val="0"/>
        <w:rPr>
          <w:rFonts w:asciiTheme="minorHAnsi" w:hAnsiTheme="minorHAnsi" w:cs="TTE2228400t00"/>
          <w:lang w:eastAsia="en-AU"/>
        </w:rPr>
      </w:pPr>
      <w:r w:rsidRPr="00067197">
        <w:rPr>
          <w:rFonts w:asciiTheme="minorHAnsi" w:hAnsiTheme="minorHAnsi" w:cs="TTE2228400t00"/>
          <w:lang w:eastAsia="en-AU"/>
        </w:rPr>
        <w:t xml:space="preserve"> Higher costs of </w:t>
      </w:r>
      <w:r w:rsidR="00D9595A">
        <w:rPr>
          <w:rFonts w:asciiTheme="minorHAnsi" w:hAnsiTheme="minorHAnsi" w:cs="TTE2228400t00"/>
          <w:lang w:eastAsia="en-AU"/>
        </w:rPr>
        <w:t xml:space="preserve">goods and </w:t>
      </w:r>
      <w:r w:rsidRPr="00067197">
        <w:rPr>
          <w:rFonts w:asciiTheme="minorHAnsi" w:hAnsiTheme="minorHAnsi" w:cs="TTE2228400t00"/>
          <w:lang w:eastAsia="en-AU"/>
        </w:rPr>
        <w:t>service</w:t>
      </w:r>
      <w:r w:rsidR="00D9595A">
        <w:rPr>
          <w:rFonts w:asciiTheme="minorHAnsi" w:hAnsiTheme="minorHAnsi" w:cs="TTE2228400t00"/>
          <w:lang w:eastAsia="en-AU"/>
        </w:rPr>
        <w:t>s</w:t>
      </w:r>
      <w:r w:rsidRPr="00067197">
        <w:rPr>
          <w:rFonts w:asciiTheme="minorHAnsi" w:hAnsiTheme="minorHAnsi" w:cs="TTE2228400t00"/>
          <w:lang w:eastAsia="en-AU"/>
        </w:rPr>
        <w:t xml:space="preserve"> delivery</w:t>
      </w:r>
    </w:p>
    <w:p w:rsidR="00CA3FBD" w:rsidRDefault="00CA3FBD" w:rsidP="00CA3FBD">
      <w:pPr>
        <w:pStyle w:val="ListParagraph"/>
        <w:numPr>
          <w:ilvl w:val="0"/>
          <w:numId w:val="5"/>
        </w:numPr>
        <w:autoSpaceDE w:val="0"/>
        <w:autoSpaceDN w:val="0"/>
        <w:adjustRightInd w:val="0"/>
        <w:rPr>
          <w:rFonts w:asciiTheme="minorHAnsi" w:hAnsiTheme="minorHAnsi" w:cs="TTE2228400t00"/>
          <w:lang w:eastAsia="en-AU"/>
        </w:rPr>
      </w:pPr>
      <w:r w:rsidRPr="00067197">
        <w:rPr>
          <w:rFonts w:asciiTheme="minorHAnsi" w:hAnsiTheme="minorHAnsi" w:cs="TTE2228400t00"/>
          <w:lang w:eastAsia="en-AU"/>
        </w:rPr>
        <w:t xml:space="preserve"> </w:t>
      </w:r>
      <w:r>
        <w:rPr>
          <w:rFonts w:asciiTheme="minorHAnsi" w:hAnsiTheme="minorHAnsi" w:cs="TTE2228400t00"/>
          <w:lang w:eastAsia="en-AU"/>
        </w:rPr>
        <w:t>High turn</w:t>
      </w:r>
      <w:r w:rsidRPr="00067197">
        <w:rPr>
          <w:rFonts w:asciiTheme="minorHAnsi" w:hAnsiTheme="minorHAnsi" w:cs="TTE2228400t00"/>
          <w:lang w:eastAsia="en-AU"/>
        </w:rPr>
        <w:t>over of staff</w:t>
      </w:r>
    </w:p>
    <w:p w:rsidR="00CA3FBD" w:rsidRDefault="00D9595A" w:rsidP="00CA3FBD">
      <w:pPr>
        <w:pStyle w:val="ListParagraph"/>
        <w:numPr>
          <w:ilvl w:val="0"/>
          <w:numId w:val="5"/>
        </w:numPr>
        <w:autoSpaceDE w:val="0"/>
        <w:autoSpaceDN w:val="0"/>
        <w:adjustRightInd w:val="0"/>
        <w:rPr>
          <w:rFonts w:asciiTheme="minorHAnsi" w:hAnsiTheme="minorHAnsi" w:cs="TTE2228400t00"/>
          <w:lang w:eastAsia="en-AU"/>
        </w:rPr>
      </w:pPr>
      <w:r>
        <w:rPr>
          <w:rFonts w:asciiTheme="minorHAnsi" w:hAnsiTheme="minorHAnsi" w:cs="TTE2228400t00"/>
          <w:lang w:eastAsia="en-AU"/>
        </w:rPr>
        <w:t xml:space="preserve"> A reliance on employer provision of housing to accommodate staff</w:t>
      </w:r>
      <w:r w:rsidR="00C67D89">
        <w:rPr>
          <w:rFonts w:asciiTheme="minorHAnsi" w:hAnsiTheme="minorHAnsi" w:cs="TTE2228400t00"/>
          <w:lang w:eastAsia="en-AU"/>
        </w:rPr>
        <w:t>, adding to employment costs</w:t>
      </w:r>
    </w:p>
    <w:p w:rsidR="00CA3FBD" w:rsidRDefault="00194251" w:rsidP="00CA3FBD">
      <w:pPr>
        <w:pStyle w:val="ListParagraph"/>
        <w:numPr>
          <w:ilvl w:val="0"/>
          <w:numId w:val="5"/>
        </w:numPr>
        <w:autoSpaceDE w:val="0"/>
        <w:autoSpaceDN w:val="0"/>
        <w:adjustRightInd w:val="0"/>
        <w:rPr>
          <w:rFonts w:asciiTheme="minorHAnsi" w:hAnsiTheme="minorHAnsi" w:cs="TTE2228400t00"/>
          <w:lang w:eastAsia="en-AU"/>
        </w:rPr>
      </w:pPr>
      <w:r>
        <w:rPr>
          <w:rFonts w:asciiTheme="minorHAnsi" w:hAnsiTheme="minorHAnsi" w:cs="TTE2228400t00"/>
          <w:lang w:eastAsia="en-AU"/>
        </w:rPr>
        <w:t xml:space="preserve"> </w:t>
      </w:r>
      <w:r w:rsidR="00CA3FBD">
        <w:rPr>
          <w:rFonts w:asciiTheme="minorHAnsi" w:hAnsiTheme="minorHAnsi" w:cs="TTE2228400t00"/>
          <w:lang w:eastAsia="en-AU"/>
        </w:rPr>
        <w:t>Stringent attention to clinical governance</w:t>
      </w:r>
    </w:p>
    <w:p w:rsidR="00194251" w:rsidRPr="00067197" w:rsidRDefault="00194251" w:rsidP="00CA3FBD">
      <w:pPr>
        <w:pStyle w:val="ListParagraph"/>
        <w:numPr>
          <w:ilvl w:val="0"/>
          <w:numId w:val="5"/>
        </w:numPr>
        <w:autoSpaceDE w:val="0"/>
        <w:autoSpaceDN w:val="0"/>
        <w:adjustRightInd w:val="0"/>
        <w:rPr>
          <w:rFonts w:asciiTheme="minorHAnsi" w:hAnsiTheme="minorHAnsi" w:cs="TTE2228400t00"/>
          <w:lang w:eastAsia="en-AU"/>
        </w:rPr>
      </w:pPr>
      <w:r>
        <w:rPr>
          <w:rFonts w:asciiTheme="minorHAnsi" w:hAnsiTheme="minorHAnsi" w:cs="TTE2228400t00"/>
          <w:lang w:eastAsia="en-AU"/>
        </w:rPr>
        <w:t xml:space="preserve">A PATS budget able to address the need to travel to receive appropriate levels of care. </w:t>
      </w:r>
    </w:p>
    <w:p w:rsidR="00CA3FBD" w:rsidRPr="008564A8" w:rsidRDefault="00CA3FBD" w:rsidP="003D1E65">
      <w:pPr>
        <w:autoSpaceDE w:val="0"/>
        <w:autoSpaceDN w:val="0"/>
        <w:adjustRightInd w:val="0"/>
        <w:jc w:val="left"/>
        <w:rPr>
          <w:rFonts w:cs="TTE2228400t00"/>
          <w:sz w:val="24"/>
          <w:szCs w:val="24"/>
          <w:lang w:eastAsia="en-AU"/>
        </w:rPr>
      </w:pPr>
    </w:p>
    <w:p w:rsidR="003D1E65" w:rsidRDefault="003D1E65" w:rsidP="001B3E1F">
      <w:pPr>
        <w:autoSpaceDE w:val="0"/>
        <w:autoSpaceDN w:val="0"/>
        <w:adjustRightInd w:val="0"/>
        <w:jc w:val="left"/>
        <w:rPr>
          <w:rFonts w:cs="TTE2228400t00"/>
          <w:b/>
          <w:color w:val="323E4F" w:themeColor="text2" w:themeShade="BF"/>
          <w:sz w:val="28"/>
          <w:szCs w:val="28"/>
          <w:lang w:eastAsia="en-AU"/>
        </w:rPr>
      </w:pPr>
    </w:p>
    <w:p w:rsidR="00CA3FBD" w:rsidRPr="00CA3FBD" w:rsidRDefault="00CA3FBD" w:rsidP="00CA3FBD">
      <w:pPr>
        <w:autoSpaceDE w:val="0"/>
        <w:autoSpaceDN w:val="0"/>
        <w:adjustRightInd w:val="0"/>
        <w:jc w:val="both"/>
        <w:rPr>
          <w:rFonts w:cs="TTE2228400t00"/>
          <w:b/>
          <w:color w:val="1F4E79" w:themeColor="accent1" w:themeShade="80"/>
          <w:sz w:val="28"/>
          <w:szCs w:val="28"/>
          <w:lang w:eastAsia="en-AU"/>
        </w:rPr>
      </w:pPr>
      <w:r w:rsidRPr="00CA3FBD">
        <w:rPr>
          <w:rFonts w:cs="TTE2228400t00"/>
          <w:b/>
          <w:color w:val="1F4E79" w:themeColor="accent1" w:themeShade="80"/>
          <w:sz w:val="28"/>
          <w:szCs w:val="28"/>
          <w:lang w:eastAsia="en-AU"/>
        </w:rPr>
        <w:t>KAHPF’S ACHIEVEMENTS</w:t>
      </w:r>
      <w:r w:rsidR="009B5832">
        <w:rPr>
          <w:rFonts w:cs="TTE2228400t00"/>
          <w:b/>
          <w:color w:val="1F4E79" w:themeColor="accent1" w:themeShade="80"/>
          <w:sz w:val="28"/>
          <w:szCs w:val="28"/>
          <w:lang w:eastAsia="en-AU"/>
        </w:rPr>
        <w:t>,</w:t>
      </w:r>
      <w:r w:rsidRPr="00CA3FBD">
        <w:rPr>
          <w:rFonts w:cs="TTE2228400t00"/>
          <w:b/>
          <w:color w:val="1F4E79" w:themeColor="accent1" w:themeShade="80"/>
          <w:sz w:val="28"/>
          <w:szCs w:val="28"/>
          <w:lang w:eastAsia="en-AU"/>
        </w:rPr>
        <w:t xml:space="preserve"> ONGOING CHALLENGES</w:t>
      </w:r>
      <w:r w:rsidR="009B5832">
        <w:rPr>
          <w:rFonts w:cs="TTE2228400t00"/>
          <w:b/>
          <w:color w:val="1F4E79" w:themeColor="accent1" w:themeShade="80"/>
          <w:sz w:val="28"/>
          <w:szCs w:val="28"/>
          <w:lang w:eastAsia="en-AU"/>
        </w:rPr>
        <w:t xml:space="preserve"> and OPPORTUNITIES</w:t>
      </w:r>
    </w:p>
    <w:p w:rsidR="00CA3FBD" w:rsidRPr="007F39A6" w:rsidRDefault="00CA3FBD" w:rsidP="00CA3FBD">
      <w:pPr>
        <w:autoSpaceDE w:val="0"/>
        <w:autoSpaceDN w:val="0"/>
        <w:adjustRightInd w:val="0"/>
        <w:jc w:val="both"/>
        <w:rPr>
          <w:rFonts w:cs="TTE2228400t00"/>
          <w:b/>
          <w:lang w:eastAsia="en-AU"/>
        </w:rPr>
      </w:pPr>
    </w:p>
    <w:p w:rsidR="006D68B7" w:rsidRPr="006D68B7" w:rsidRDefault="006D68B7" w:rsidP="006D68B7">
      <w:pPr>
        <w:jc w:val="left"/>
        <w:rPr>
          <w:rFonts w:cs="Calibri"/>
          <w:noProof/>
          <w:sz w:val="24"/>
          <w:szCs w:val="24"/>
        </w:rPr>
      </w:pPr>
      <w:r w:rsidRPr="006D68B7">
        <w:rPr>
          <w:rFonts w:cs="Calibri"/>
          <w:noProof/>
          <w:sz w:val="24"/>
          <w:szCs w:val="24"/>
        </w:rPr>
        <w:t xml:space="preserve">In 1999 health services worked competitively and in isolation. The Kimberley Aboriginal Health Planning Forum (KAHPF) was formed in 2000 and has met regularly since that time. In 2016, joint </w:t>
      </w:r>
      <w:r w:rsidRPr="006D68B7">
        <w:rPr>
          <w:rFonts w:cs="Calibri"/>
          <w:noProof/>
          <w:sz w:val="24"/>
          <w:szCs w:val="24"/>
        </w:rPr>
        <w:lastRenderedPageBreak/>
        <w:t>planning, collaborative inter-agency activity and partnership approaches underpinned by MOUs and Letters of Agreement are the norm.  Achievements of KAHPF include:</w:t>
      </w:r>
    </w:p>
    <w:p w:rsidR="006D68B7" w:rsidRPr="006D68B7" w:rsidRDefault="00194251" w:rsidP="00194251">
      <w:pPr>
        <w:numPr>
          <w:ilvl w:val="0"/>
          <w:numId w:val="27"/>
        </w:numPr>
        <w:ind w:left="714" w:hanging="357"/>
        <w:jc w:val="left"/>
        <w:rPr>
          <w:rFonts w:cs="Calibri"/>
          <w:noProof/>
          <w:sz w:val="24"/>
          <w:szCs w:val="24"/>
        </w:rPr>
      </w:pPr>
      <w:r>
        <w:rPr>
          <w:rFonts w:cs="Calibri"/>
          <w:noProof/>
          <w:sz w:val="24"/>
          <w:szCs w:val="24"/>
        </w:rPr>
        <w:t>The formation of t</w:t>
      </w:r>
      <w:r w:rsidR="006D68B7" w:rsidRPr="006D68B7">
        <w:rPr>
          <w:rFonts w:cs="Calibri"/>
          <w:noProof/>
          <w:sz w:val="24"/>
          <w:szCs w:val="24"/>
        </w:rPr>
        <w:t>en sub-committees and working groups operat</w:t>
      </w:r>
      <w:r>
        <w:rPr>
          <w:rFonts w:cs="Calibri"/>
          <w:noProof/>
          <w:sz w:val="24"/>
          <w:szCs w:val="24"/>
        </w:rPr>
        <w:t>ing</w:t>
      </w:r>
      <w:r w:rsidR="006D68B7" w:rsidRPr="006D68B7">
        <w:rPr>
          <w:rFonts w:cs="Calibri"/>
          <w:noProof/>
          <w:sz w:val="24"/>
          <w:szCs w:val="24"/>
        </w:rPr>
        <w:t xml:space="preserve"> under the auspices of KAHPF.  </w:t>
      </w:r>
    </w:p>
    <w:p w:rsidR="006D68B7" w:rsidRPr="006D68B7" w:rsidRDefault="006D68B7" w:rsidP="00194251">
      <w:pPr>
        <w:numPr>
          <w:ilvl w:val="0"/>
          <w:numId w:val="27"/>
        </w:numPr>
        <w:ind w:left="720"/>
        <w:jc w:val="left"/>
        <w:rPr>
          <w:rFonts w:cs="Calibri"/>
          <w:noProof/>
          <w:sz w:val="24"/>
          <w:szCs w:val="24"/>
        </w:rPr>
      </w:pPr>
      <w:r w:rsidRPr="006D68B7">
        <w:rPr>
          <w:rFonts w:cs="Calibri"/>
          <w:noProof/>
          <w:sz w:val="24"/>
          <w:szCs w:val="24"/>
        </w:rPr>
        <w:t xml:space="preserve"> A Kimberley Standard drug list used to guide the dispensing of medications by all health services </w:t>
      </w:r>
      <w:r w:rsidR="00194251">
        <w:rPr>
          <w:rFonts w:cs="Calibri"/>
          <w:noProof/>
          <w:sz w:val="24"/>
          <w:szCs w:val="24"/>
        </w:rPr>
        <w:t>which is</w:t>
      </w:r>
      <w:r w:rsidRPr="006D68B7">
        <w:rPr>
          <w:rFonts w:cs="Calibri"/>
          <w:noProof/>
          <w:sz w:val="24"/>
          <w:szCs w:val="24"/>
        </w:rPr>
        <w:t xml:space="preserve"> regularly reviewed.</w:t>
      </w:r>
    </w:p>
    <w:p w:rsidR="00654EAE" w:rsidRPr="00045E09" w:rsidRDefault="00194251" w:rsidP="00045E09">
      <w:pPr>
        <w:numPr>
          <w:ilvl w:val="0"/>
          <w:numId w:val="26"/>
        </w:numPr>
        <w:ind w:left="714" w:hanging="357"/>
        <w:jc w:val="left"/>
        <w:rPr>
          <w:rFonts w:cs="Calibri"/>
          <w:noProof/>
          <w:sz w:val="24"/>
          <w:szCs w:val="24"/>
        </w:rPr>
      </w:pPr>
      <w:r>
        <w:rPr>
          <w:rFonts w:cs="Calibri"/>
          <w:noProof/>
          <w:sz w:val="24"/>
          <w:szCs w:val="24"/>
        </w:rPr>
        <w:t>C</w:t>
      </w:r>
      <w:r w:rsidR="006D68B7" w:rsidRPr="006D68B7">
        <w:rPr>
          <w:rFonts w:cs="Calibri"/>
          <w:noProof/>
          <w:sz w:val="24"/>
          <w:szCs w:val="24"/>
        </w:rPr>
        <w:t>ollaborati</w:t>
      </w:r>
      <w:r>
        <w:rPr>
          <w:rFonts w:cs="Calibri"/>
          <w:noProof/>
          <w:sz w:val="24"/>
          <w:szCs w:val="24"/>
        </w:rPr>
        <w:t>ve</w:t>
      </w:r>
      <w:r w:rsidR="006D68B7" w:rsidRPr="006D68B7">
        <w:rPr>
          <w:rFonts w:cs="Calibri"/>
          <w:noProof/>
          <w:sz w:val="24"/>
          <w:szCs w:val="24"/>
        </w:rPr>
        <w:t>development</w:t>
      </w:r>
      <w:r>
        <w:rPr>
          <w:rFonts w:cs="Calibri"/>
          <w:noProof/>
          <w:sz w:val="24"/>
          <w:szCs w:val="24"/>
        </w:rPr>
        <w:t xml:space="preserve"> and review</w:t>
      </w:r>
      <w:r w:rsidR="006D68B7" w:rsidRPr="006D68B7">
        <w:rPr>
          <w:rFonts w:cs="Calibri"/>
          <w:noProof/>
          <w:sz w:val="24"/>
          <w:szCs w:val="24"/>
        </w:rPr>
        <w:t xml:space="preserve"> of Kimberley therapeutic treatments protocols that have been endorsed and adopted for use by all Kimberley service providers.  These include:</w:t>
      </w:r>
    </w:p>
    <w:p w:rsidR="00194251" w:rsidRPr="00194251" w:rsidRDefault="00194251" w:rsidP="00194251">
      <w:pPr>
        <w:ind w:left="720"/>
        <w:jc w:val="left"/>
        <w:rPr>
          <w:rFonts w:cs="Calibri"/>
          <w:noProof/>
          <w:sz w:val="16"/>
          <w:szCs w:val="16"/>
        </w:rPr>
      </w:pPr>
    </w:p>
    <w:tbl>
      <w:tblPr>
        <w:tblStyle w:val="TableGrid"/>
        <w:tblW w:w="0" w:type="auto"/>
        <w:tblInd w:w="1206" w:type="dxa"/>
        <w:tblLook w:val="04A0" w:firstRow="1" w:lastRow="0" w:firstColumn="1" w:lastColumn="0" w:noHBand="0" w:noVBand="1"/>
      </w:tblPr>
      <w:tblGrid>
        <w:gridCol w:w="3684"/>
        <w:gridCol w:w="3687"/>
      </w:tblGrid>
      <w:tr w:rsidR="006D68B7" w:rsidRPr="006D68B7" w:rsidTr="00194251">
        <w:tc>
          <w:tcPr>
            <w:tcW w:w="3684" w:type="dxa"/>
            <w:shd w:val="clear" w:color="auto" w:fill="BDD6EE" w:themeFill="accent1" w:themeFillTint="66"/>
          </w:tcPr>
          <w:p w:rsidR="006D68B7" w:rsidRPr="006D68B7" w:rsidRDefault="006D68B7" w:rsidP="00194251">
            <w:pPr>
              <w:rPr>
                <w:rFonts w:asciiTheme="minorHAnsi" w:hAnsiTheme="minorHAnsi" w:cs="Calibri"/>
                <w:b/>
                <w:noProof/>
                <w:sz w:val="24"/>
                <w:szCs w:val="24"/>
              </w:rPr>
            </w:pPr>
            <w:r w:rsidRPr="006D68B7">
              <w:rPr>
                <w:rFonts w:asciiTheme="minorHAnsi" w:hAnsiTheme="minorHAnsi" w:cs="Calibri"/>
                <w:b/>
                <w:noProof/>
                <w:sz w:val="24"/>
                <w:szCs w:val="24"/>
              </w:rPr>
              <w:t>Chronic Disease</w:t>
            </w:r>
          </w:p>
        </w:tc>
        <w:tc>
          <w:tcPr>
            <w:tcW w:w="3687" w:type="dxa"/>
            <w:shd w:val="clear" w:color="auto" w:fill="BDD6EE" w:themeFill="accent1" w:themeFillTint="66"/>
          </w:tcPr>
          <w:p w:rsidR="006D68B7" w:rsidRPr="006D68B7" w:rsidRDefault="006D68B7" w:rsidP="006D68B7">
            <w:pPr>
              <w:rPr>
                <w:rFonts w:asciiTheme="minorHAnsi" w:hAnsiTheme="minorHAnsi" w:cs="Calibri"/>
                <w:b/>
                <w:noProof/>
                <w:sz w:val="24"/>
                <w:szCs w:val="24"/>
              </w:rPr>
            </w:pPr>
            <w:r w:rsidRPr="006D68B7">
              <w:rPr>
                <w:rFonts w:asciiTheme="minorHAnsi" w:hAnsiTheme="minorHAnsi" w:cs="Calibri"/>
                <w:b/>
                <w:noProof/>
                <w:sz w:val="24"/>
                <w:szCs w:val="24"/>
              </w:rPr>
              <w:t>Maternal and Chil</w:t>
            </w:r>
            <w:r>
              <w:rPr>
                <w:rFonts w:asciiTheme="minorHAnsi" w:hAnsiTheme="minorHAnsi" w:cs="Calibri"/>
                <w:b/>
                <w:noProof/>
                <w:sz w:val="24"/>
                <w:szCs w:val="24"/>
              </w:rPr>
              <w:t>d Health</w:t>
            </w:r>
          </w:p>
        </w:tc>
      </w:tr>
      <w:tr w:rsidR="006D68B7" w:rsidRPr="006D68B7" w:rsidTr="00194251">
        <w:tc>
          <w:tcPr>
            <w:tcW w:w="3684" w:type="dxa"/>
          </w:tcPr>
          <w:p w:rsidR="006D68B7" w:rsidRPr="006D68B7" w:rsidRDefault="006D68B7" w:rsidP="006D68B7">
            <w:pPr>
              <w:rPr>
                <w:rFonts w:asciiTheme="minorHAnsi" w:hAnsiTheme="minorHAnsi"/>
                <w:sz w:val="24"/>
                <w:szCs w:val="24"/>
              </w:rPr>
            </w:pPr>
            <w:r w:rsidRPr="006D68B7">
              <w:rPr>
                <w:rFonts w:asciiTheme="minorHAnsi" w:hAnsiTheme="minorHAnsi"/>
                <w:sz w:val="24"/>
                <w:szCs w:val="24"/>
              </w:rPr>
              <w:t>Rheumatic Health Disease</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Coronary Artery Disease</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Diabetes Type II</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Chronic Kidney disease</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Hypertension</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Dyslipidaemia</w:t>
            </w:r>
          </w:p>
          <w:p w:rsidR="006D68B7" w:rsidRPr="006D68B7" w:rsidRDefault="006D68B7" w:rsidP="006D68B7">
            <w:pPr>
              <w:rPr>
                <w:rFonts w:asciiTheme="minorHAnsi" w:hAnsiTheme="minorHAnsi"/>
                <w:sz w:val="24"/>
                <w:szCs w:val="24"/>
              </w:rPr>
            </w:pPr>
            <w:r w:rsidRPr="006D68B7">
              <w:rPr>
                <w:rFonts w:asciiTheme="minorHAnsi" w:hAnsiTheme="minorHAnsi"/>
                <w:sz w:val="24"/>
                <w:szCs w:val="24"/>
              </w:rPr>
              <w:t>Heart Failure</w:t>
            </w:r>
          </w:p>
          <w:p w:rsidR="006D68B7" w:rsidRPr="006D68B7" w:rsidRDefault="006D68B7" w:rsidP="006D68B7">
            <w:pPr>
              <w:rPr>
                <w:noProof/>
              </w:rPr>
            </w:pPr>
            <w:r w:rsidRPr="006D68B7">
              <w:rPr>
                <w:rFonts w:asciiTheme="minorHAnsi" w:hAnsiTheme="minorHAnsi"/>
                <w:sz w:val="24"/>
                <w:szCs w:val="24"/>
              </w:rPr>
              <w:t>Proteinuria &amp; normal eGFR</w:t>
            </w:r>
          </w:p>
        </w:tc>
        <w:tc>
          <w:tcPr>
            <w:tcW w:w="3687" w:type="dxa"/>
          </w:tcPr>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Anaemia in children</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Diabetes in pregnancy</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Ear Health</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Failure to thrive</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Perinatal depression</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Child sexual abuse</w:t>
            </w:r>
          </w:p>
          <w:p w:rsidR="006D68B7" w:rsidRP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Type II diabetes in children</w:t>
            </w:r>
          </w:p>
          <w:p w:rsidR="006D68B7" w:rsidRDefault="006D68B7" w:rsidP="006D68B7">
            <w:pPr>
              <w:rPr>
                <w:rFonts w:asciiTheme="minorHAnsi" w:hAnsiTheme="minorHAnsi" w:cs="Calibri"/>
                <w:noProof/>
                <w:sz w:val="24"/>
                <w:szCs w:val="24"/>
              </w:rPr>
            </w:pPr>
            <w:r w:rsidRPr="006D68B7">
              <w:rPr>
                <w:rFonts w:asciiTheme="minorHAnsi" w:hAnsiTheme="minorHAnsi" w:cs="Calibri"/>
                <w:noProof/>
                <w:sz w:val="24"/>
                <w:szCs w:val="24"/>
              </w:rPr>
              <w:t>Respiratory disease in children</w:t>
            </w:r>
          </w:p>
          <w:p w:rsidR="00E209A8" w:rsidRPr="006D68B7" w:rsidRDefault="00E209A8" w:rsidP="006D68B7">
            <w:pPr>
              <w:rPr>
                <w:rFonts w:asciiTheme="minorHAnsi" w:hAnsiTheme="minorHAnsi" w:cs="Calibri"/>
                <w:noProof/>
                <w:sz w:val="24"/>
                <w:szCs w:val="24"/>
              </w:rPr>
            </w:pPr>
          </w:p>
        </w:tc>
      </w:tr>
    </w:tbl>
    <w:p w:rsidR="006D68B7" w:rsidRPr="008715E0" w:rsidRDefault="006D68B7" w:rsidP="00194251">
      <w:pPr>
        <w:ind w:left="360"/>
        <w:jc w:val="both"/>
        <w:rPr>
          <w:rFonts w:cs="Calibri"/>
          <w:noProof/>
        </w:rPr>
      </w:pPr>
    </w:p>
    <w:p w:rsidR="006D68B7" w:rsidRPr="00194251" w:rsidRDefault="006D68B7" w:rsidP="00194251">
      <w:pPr>
        <w:numPr>
          <w:ilvl w:val="0"/>
          <w:numId w:val="26"/>
        </w:numPr>
        <w:ind w:left="697" w:hanging="357"/>
        <w:jc w:val="left"/>
        <w:rPr>
          <w:rFonts w:cs="Calibri"/>
          <w:noProof/>
          <w:sz w:val="24"/>
          <w:szCs w:val="24"/>
        </w:rPr>
      </w:pPr>
      <w:r w:rsidRPr="00194251">
        <w:rPr>
          <w:rFonts w:cs="Calibri"/>
          <w:noProof/>
          <w:sz w:val="24"/>
          <w:szCs w:val="24"/>
        </w:rPr>
        <w:t>All WACHS-operated remote clinics provide drugs at no cost to patients under Section 100</w:t>
      </w:r>
      <w:r w:rsidR="00045E09">
        <w:rPr>
          <w:rFonts w:cs="Calibri"/>
          <w:noProof/>
          <w:sz w:val="24"/>
          <w:szCs w:val="24"/>
        </w:rPr>
        <w:t xml:space="preserve"> of the Pharmaceutical Benefits Scheme</w:t>
      </w:r>
      <w:r w:rsidRPr="00194251">
        <w:rPr>
          <w:rFonts w:cs="Calibri"/>
          <w:noProof/>
          <w:sz w:val="24"/>
          <w:szCs w:val="24"/>
        </w:rPr>
        <w:t>.</w:t>
      </w:r>
    </w:p>
    <w:p w:rsidR="006D68B7" w:rsidRPr="00194251" w:rsidRDefault="006D68B7" w:rsidP="00194251">
      <w:pPr>
        <w:numPr>
          <w:ilvl w:val="0"/>
          <w:numId w:val="26"/>
        </w:numPr>
        <w:ind w:left="697" w:hanging="357"/>
        <w:jc w:val="left"/>
        <w:rPr>
          <w:rFonts w:cs="Calibri"/>
          <w:noProof/>
          <w:sz w:val="24"/>
          <w:szCs w:val="24"/>
        </w:rPr>
      </w:pPr>
      <w:r w:rsidRPr="00194251">
        <w:rPr>
          <w:rFonts w:cs="Calibri"/>
          <w:noProof/>
          <w:sz w:val="24"/>
          <w:szCs w:val="24"/>
        </w:rPr>
        <w:t>Increased numbers of GP Registrars from the collaboration between KAMSC and WAGPET have increased GP capacity in the region.</w:t>
      </w:r>
    </w:p>
    <w:p w:rsidR="006D68B7" w:rsidRPr="00194251" w:rsidRDefault="006D68B7" w:rsidP="00194251">
      <w:pPr>
        <w:numPr>
          <w:ilvl w:val="0"/>
          <w:numId w:val="26"/>
        </w:numPr>
        <w:ind w:left="697" w:hanging="357"/>
        <w:jc w:val="left"/>
        <w:rPr>
          <w:rFonts w:cs="Calibri"/>
          <w:noProof/>
          <w:sz w:val="24"/>
          <w:szCs w:val="24"/>
        </w:rPr>
      </w:pPr>
      <w:r w:rsidRPr="00194251">
        <w:rPr>
          <w:rFonts w:cs="Calibri"/>
          <w:noProof/>
          <w:sz w:val="24"/>
          <w:szCs w:val="24"/>
        </w:rPr>
        <w:t xml:space="preserve">The provision of 19.2 exemptions in WACHS remote clinics and some hospitals </w:t>
      </w:r>
      <w:r w:rsidR="00194251" w:rsidRPr="00194251">
        <w:rPr>
          <w:rFonts w:cs="Calibri"/>
          <w:noProof/>
          <w:sz w:val="24"/>
          <w:szCs w:val="24"/>
        </w:rPr>
        <w:t>has</w:t>
      </w:r>
      <w:r w:rsidRPr="00194251">
        <w:rPr>
          <w:rFonts w:cs="Calibri"/>
          <w:noProof/>
          <w:sz w:val="24"/>
          <w:szCs w:val="24"/>
        </w:rPr>
        <w:t xml:space="preserve"> facilitate</w:t>
      </w:r>
      <w:r w:rsidR="00194251" w:rsidRPr="00194251">
        <w:rPr>
          <w:rFonts w:cs="Calibri"/>
          <w:noProof/>
          <w:sz w:val="24"/>
          <w:szCs w:val="24"/>
        </w:rPr>
        <w:t>d</w:t>
      </w:r>
      <w:r w:rsidRPr="00194251">
        <w:rPr>
          <w:rFonts w:cs="Calibri"/>
          <w:noProof/>
          <w:sz w:val="24"/>
          <w:szCs w:val="24"/>
        </w:rPr>
        <w:t xml:space="preserve"> the generation of revenue for the purpose of primary health service enhancement in each community.  </w:t>
      </w:r>
    </w:p>
    <w:p w:rsidR="006D68B7" w:rsidRPr="00194251" w:rsidRDefault="006D68B7" w:rsidP="00194251">
      <w:pPr>
        <w:numPr>
          <w:ilvl w:val="0"/>
          <w:numId w:val="26"/>
        </w:numPr>
        <w:ind w:left="697" w:hanging="357"/>
        <w:jc w:val="left"/>
        <w:rPr>
          <w:rFonts w:cs="Calibri"/>
          <w:noProof/>
          <w:sz w:val="24"/>
          <w:szCs w:val="24"/>
        </w:rPr>
      </w:pPr>
      <w:r w:rsidRPr="00194251">
        <w:rPr>
          <w:rFonts w:cs="Calibri"/>
          <w:noProof/>
          <w:sz w:val="24"/>
          <w:szCs w:val="24"/>
        </w:rPr>
        <w:t xml:space="preserve">Kimberley services have successfully lobbied for increased funding to address renal issues in the region.  </w:t>
      </w:r>
    </w:p>
    <w:p w:rsidR="00CA3FBD" w:rsidRDefault="00CA3FBD" w:rsidP="00CA3FBD">
      <w:pPr>
        <w:autoSpaceDE w:val="0"/>
        <w:autoSpaceDN w:val="0"/>
        <w:adjustRightInd w:val="0"/>
        <w:jc w:val="both"/>
        <w:rPr>
          <w:rFonts w:cs="TTE2228400t00"/>
          <w:sz w:val="24"/>
          <w:szCs w:val="24"/>
          <w:lang w:eastAsia="en-AU"/>
        </w:rPr>
      </w:pPr>
    </w:p>
    <w:p w:rsidR="00CA3FBD" w:rsidRPr="00CA0079" w:rsidRDefault="00CA3FBD" w:rsidP="00CA3FBD">
      <w:pPr>
        <w:autoSpaceDE w:val="0"/>
        <w:autoSpaceDN w:val="0"/>
        <w:adjustRightInd w:val="0"/>
        <w:jc w:val="both"/>
        <w:rPr>
          <w:rFonts w:cs="TTE2228400t00"/>
          <w:sz w:val="24"/>
          <w:szCs w:val="24"/>
          <w:lang w:eastAsia="en-AU"/>
        </w:rPr>
      </w:pPr>
      <w:r w:rsidRPr="00CA0079">
        <w:rPr>
          <w:rFonts w:cs="TTE2228400t00"/>
          <w:sz w:val="24"/>
          <w:szCs w:val="24"/>
          <w:lang w:eastAsia="en-AU"/>
        </w:rPr>
        <w:t>KAHPF is currently working on a number of initiatives that will enhance regional effectiveness, for example:</w:t>
      </w:r>
    </w:p>
    <w:p w:rsidR="00CA3FBD" w:rsidRPr="00CA0079" w:rsidRDefault="00194251" w:rsidP="00CA3FBD">
      <w:pPr>
        <w:pStyle w:val="ListParagraph"/>
        <w:numPr>
          <w:ilvl w:val="0"/>
          <w:numId w:val="9"/>
        </w:numPr>
        <w:autoSpaceDE w:val="0"/>
        <w:autoSpaceDN w:val="0"/>
        <w:adjustRightInd w:val="0"/>
        <w:rPr>
          <w:rFonts w:asciiTheme="minorHAnsi" w:hAnsiTheme="minorHAnsi" w:cs="TTE2228400t00"/>
          <w:lang w:eastAsia="en-AU"/>
        </w:rPr>
      </w:pPr>
      <w:r>
        <w:rPr>
          <w:rFonts w:asciiTheme="minorHAnsi" w:hAnsiTheme="minorHAnsi" w:cs="TTE2228400t00"/>
          <w:lang w:eastAsia="en-AU"/>
        </w:rPr>
        <w:t>Identifying</w:t>
      </w:r>
      <w:r w:rsidR="00CA3FBD" w:rsidRPr="00CA0079">
        <w:rPr>
          <w:rFonts w:asciiTheme="minorHAnsi" w:hAnsiTheme="minorHAnsi" w:cs="TTE2228400t00"/>
          <w:lang w:eastAsia="en-AU"/>
        </w:rPr>
        <w:t xml:space="preserve"> </w:t>
      </w:r>
      <w:r>
        <w:rPr>
          <w:rFonts w:asciiTheme="minorHAnsi" w:hAnsiTheme="minorHAnsi" w:cs="TTE2228400t00"/>
          <w:lang w:eastAsia="en-AU"/>
        </w:rPr>
        <w:t xml:space="preserve">mechanisms and </w:t>
      </w:r>
      <w:r w:rsidR="00CA3FBD" w:rsidRPr="00CA0079">
        <w:rPr>
          <w:rFonts w:asciiTheme="minorHAnsi" w:hAnsiTheme="minorHAnsi" w:cs="TTE2228400t00"/>
          <w:lang w:eastAsia="en-AU"/>
        </w:rPr>
        <w:t xml:space="preserve">processes to share data better – </w:t>
      </w:r>
      <w:r w:rsidR="00CA3FBD">
        <w:rPr>
          <w:rFonts w:asciiTheme="minorHAnsi" w:hAnsiTheme="minorHAnsi" w:cs="TTE2228400t00"/>
          <w:lang w:eastAsia="en-AU"/>
        </w:rPr>
        <w:t>eg.</w:t>
      </w:r>
      <w:r w:rsidR="00CA3FBD" w:rsidRPr="00CA0079">
        <w:rPr>
          <w:rFonts w:asciiTheme="minorHAnsi" w:hAnsiTheme="minorHAnsi" w:cs="TTE2228400t00"/>
          <w:lang w:eastAsia="en-AU"/>
        </w:rPr>
        <w:t xml:space="preserve"> via the development of a diabetes audit tool that will be used by service providers</w:t>
      </w:r>
    </w:p>
    <w:p w:rsidR="00CA3FBD" w:rsidRDefault="00CA3FBD" w:rsidP="00CA3FBD">
      <w:pPr>
        <w:pStyle w:val="ListParagraph"/>
        <w:numPr>
          <w:ilvl w:val="0"/>
          <w:numId w:val="9"/>
        </w:numPr>
        <w:autoSpaceDE w:val="0"/>
        <w:autoSpaceDN w:val="0"/>
        <w:adjustRightInd w:val="0"/>
        <w:rPr>
          <w:rFonts w:asciiTheme="minorHAnsi" w:hAnsiTheme="minorHAnsi" w:cs="TTE2228400t00"/>
          <w:lang w:eastAsia="en-AU"/>
        </w:rPr>
      </w:pPr>
      <w:r w:rsidRPr="00CA0079">
        <w:rPr>
          <w:rFonts w:asciiTheme="minorHAnsi" w:hAnsiTheme="minorHAnsi" w:cs="TTE2228400t00"/>
          <w:lang w:eastAsia="en-AU"/>
        </w:rPr>
        <w:t>Developing a framework for sharing KPI information across the region.</w:t>
      </w:r>
    </w:p>
    <w:p w:rsidR="00CA3FBD" w:rsidRDefault="00CA3FBD" w:rsidP="00CA3FBD">
      <w:pPr>
        <w:pStyle w:val="ListParagraph"/>
        <w:numPr>
          <w:ilvl w:val="0"/>
          <w:numId w:val="9"/>
        </w:numPr>
        <w:autoSpaceDE w:val="0"/>
        <w:autoSpaceDN w:val="0"/>
        <w:adjustRightInd w:val="0"/>
        <w:rPr>
          <w:rFonts w:asciiTheme="minorHAnsi" w:hAnsiTheme="minorHAnsi" w:cs="TTE2228400t00"/>
          <w:lang w:eastAsia="en-AU"/>
        </w:rPr>
      </w:pPr>
      <w:r>
        <w:rPr>
          <w:rFonts w:asciiTheme="minorHAnsi" w:hAnsiTheme="minorHAnsi" w:cs="TTE2228400t00"/>
          <w:lang w:eastAsia="en-AU"/>
        </w:rPr>
        <w:t>Embedding strong governance in clinical protocols, standardised drug lists and environmental health referral processes</w:t>
      </w:r>
      <w:r w:rsidR="009B5832">
        <w:rPr>
          <w:rFonts w:asciiTheme="minorHAnsi" w:hAnsiTheme="minorHAnsi" w:cs="TTE2228400t00"/>
          <w:lang w:eastAsia="en-AU"/>
        </w:rPr>
        <w:t>.</w:t>
      </w:r>
    </w:p>
    <w:p w:rsidR="009B5832" w:rsidRPr="0019196C" w:rsidRDefault="009B5832" w:rsidP="009B5832">
      <w:pPr>
        <w:autoSpaceDE w:val="0"/>
        <w:autoSpaceDN w:val="0"/>
        <w:adjustRightInd w:val="0"/>
        <w:jc w:val="left"/>
        <w:rPr>
          <w:rFonts w:cs="TTE2228400t00"/>
          <w:sz w:val="24"/>
          <w:szCs w:val="24"/>
          <w:lang w:eastAsia="en-AU"/>
        </w:rPr>
      </w:pPr>
    </w:p>
    <w:p w:rsidR="0019196C" w:rsidRPr="0019196C" w:rsidRDefault="0019196C" w:rsidP="009B5832">
      <w:pPr>
        <w:autoSpaceDE w:val="0"/>
        <w:autoSpaceDN w:val="0"/>
        <w:adjustRightInd w:val="0"/>
        <w:jc w:val="left"/>
        <w:rPr>
          <w:rFonts w:cs="TTE2228400t00"/>
          <w:sz w:val="24"/>
          <w:szCs w:val="24"/>
          <w:lang w:eastAsia="en-AU"/>
        </w:rPr>
      </w:pPr>
      <w:r w:rsidRPr="0019196C">
        <w:rPr>
          <w:rFonts w:cs="TTE2228400t00"/>
          <w:sz w:val="24"/>
          <w:szCs w:val="24"/>
          <w:lang w:eastAsia="en-AU"/>
        </w:rPr>
        <w:t xml:space="preserve"> </w:t>
      </w:r>
      <w:r w:rsidRPr="00187AC9">
        <w:rPr>
          <w:rFonts w:cs="TTE2228400t00"/>
          <w:sz w:val="24"/>
          <w:szCs w:val="24"/>
          <w:lang w:eastAsia="en-AU"/>
        </w:rPr>
        <w:t>The Australian Government’s Health Care Home initiative</w:t>
      </w:r>
      <w:r w:rsidRPr="00187AC9">
        <w:rPr>
          <w:rStyle w:val="FootnoteReference"/>
          <w:rFonts w:cs="TTE2228400t00"/>
          <w:sz w:val="24"/>
          <w:szCs w:val="24"/>
          <w:lang w:eastAsia="en-AU"/>
        </w:rPr>
        <w:footnoteReference w:id="7"/>
      </w:r>
      <w:r w:rsidRPr="00187AC9">
        <w:rPr>
          <w:rFonts w:cs="TTE2228400t00"/>
          <w:sz w:val="24"/>
          <w:szCs w:val="24"/>
          <w:lang w:eastAsia="en-AU"/>
        </w:rPr>
        <w:t xml:space="preserve"> offers the opportunity to </w:t>
      </w:r>
      <w:r w:rsidR="007A47E5" w:rsidRPr="00187AC9">
        <w:rPr>
          <w:rFonts w:cs="TTE2228400t00"/>
          <w:sz w:val="24"/>
          <w:szCs w:val="24"/>
          <w:lang w:eastAsia="en-AU"/>
        </w:rPr>
        <w:t xml:space="preserve">improve </w:t>
      </w:r>
      <w:r w:rsidRPr="00187AC9">
        <w:rPr>
          <w:rFonts w:cs="TTE2228400t00"/>
          <w:sz w:val="24"/>
          <w:szCs w:val="24"/>
          <w:lang w:eastAsia="en-AU"/>
        </w:rPr>
        <w:t>coordinat</w:t>
      </w:r>
      <w:r w:rsidR="007A47E5" w:rsidRPr="00187AC9">
        <w:rPr>
          <w:rFonts w:cs="TTE2228400t00"/>
          <w:sz w:val="24"/>
          <w:szCs w:val="24"/>
          <w:lang w:eastAsia="en-AU"/>
        </w:rPr>
        <w:t>ion of</w:t>
      </w:r>
      <w:r w:rsidRPr="00187AC9">
        <w:rPr>
          <w:rFonts w:cs="TTE2228400t00"/>
          <w:sz w:val="24"/>
          <w:szCs w:val="24"/>
          <w:lang w:eastAsia="en-AU"/>
        </w:rPr>
        <w:t xml:space="preserve"> the provision of holistic support and comprehensive care to people with chronic and complex conditions.  In remote communities the community clinic can be regarded as the patient’s ‘home base’.  New payment models and measures which facilitate the sharing of information and flexible service delivery provide opportunities for re-envisaging service delivery models.</w:t>
      </w:r>
      <w:r w:rsidRPr="0019196C">
        <w:rPr>
          <w:rFonts w:cs="TTE2228400t00"/>
          <w:sz w:val="24"/>
          <w:szCs w:val="24"/>
          <w:lang w:eastAsia="en-AU"/>
        </w:rPr>
        <w:t xml:space="preserve"> </w:t>
      </w:r>
    </w:p>
    <w:p w:rsidR="00E209A8" w:rsidRDefault="00E209A8" w:rsidP="0019196C">
      <w:pPr>
        <w:autoSpaceDE w:val="0"/>
        <w:autoSpaceDN w:val="0"/>
        <w:adjustRightInd w:val="0"/>
        <w:jc w:val="both"/>
        <w:rPr>
          <w:rFonts w:cs="TTE2228400t00"/>
          <w:lang w:eastAsia="en-AU"/>
        </w:rPr>
      </w:pPr>
    </w:p>
    <w:p w:rsidR="00187AC9" w:rsidRDefault="00187AC9">
      <w:pPr>
        <w:rPr>
          <w:rFonts w:cs="TTE2228400t00"/>
          <w:lang w:eastAsia="en-AU"/>
        </w:rPr>
      </w:pPr>
      <w:r>
        <w:rPr>
          <w:rFonts w:cs="TTE2228400t00"/>
          <w:lang w:eastAsia="en-AU"/>
        </w:rPr>
        <w:br w:type="page"/>
      </w:r>
    </w:p>
    <w:p w:rsidR="0019196C" w:rsidRDefault="0019196C" w:rsidP="0019196C">
      <w:pPr>
        <w:autoSpaceDE w:val="0"/>
        <w:autoSpaceDN w:val="0"/>
        <w:adjustRightInd w:val="0"/>
        <w:jc w:val="both"/>
        <w:rPr>
          <w:rFonts w:cs="TTE2228400t00"/>
          <w:lang w:eastAsia="en-AU"/>
        </w:rPr>
      </w:pPr>
    </w:p>
    <w:p w:rsidR="00334378" w:rsidRPr="00A86026" w:rsidRDefault="0019196C" w:rsidP="00334378">
      <w:pPr>
        <w:jc w:val="left"/>
        <w:rPr>
          <w:rFonts w:cs="Arial"/>
          <w:b/>
          <w:color w:val="1F4E79" w:themeColor="accent1" w:themeShade="80"/>
          <w:sz w:val="28"/>
          <w:szCs w:val="28"/>
        </w:rPr>
      </w:pPr>
      <w:r>
        <w:rPr>
          <w:rFonts w:cs="Arial"/>
          <w:b/>
          <w:color w:val="1F4E79" w:themeColor="accent1" w:themeShade="80"/>
          <w:sz w:val="28"/>
          <w:szCs w:val="28"/>
        </w:rPr>
        <w:t xml:space="preserve">RECOMMENDATIONS RE </w:t>
      </w:r>
      <w:r w:rsidR="00A86026" w:rsidRPr="00A86026">
        <w:rPr>
          <w:rFonts w:cs="Arial"/>
          <w:b/>
          <w:color w:val="1F4E79" w:themeColor="accent1" w:themeShade="80"/>
          <w:sz w:val="28"/>
          <w:szCs w:val="28"/>
        </w:rPr>
        <w:t>GUIDING PRINCIPLES</w:t>
      </w:r>
      <w:r w:rsidR="009432E6">
        <w:rPr>
          <w:rFonts w:cs="Arial"/>
          <w:b/>
          <w:color w:val="1F4E79" w:themeColor="accent1" w:themeShade="80"/>
          <w:sz w:val="28"/>
          <w:szCs w:val="28"/>
        </w:rPr>
        <w:t xml:space="preserve"> </w:t>
      </w:r>
      <w:r>
        <w:rPr>
          <w:rFonts w:cs="Arial"/>
          <w:b/>
          <w:color w:val="1F4E79" w:themeColor="accent1" w:themeShade="80"/>
          <w:sz w:val="28"/>
          <w:szCs w:val="28"/>
        </w:rPr>
        <w:t>FOR REMOTE SERVICE DELIVERY</w:t>
      </w:r>
    </w:p>
    <w:p w:rsidR="00334378" w:rsidRPr="00043995" w:rsidRDefault="00334378" w:rsidP="00334378">
      <w:pPr>
        <w:autoSpaceDE w:val="0"/>
        <w:autoSpaceDN w:val="0"/>
        <w:adjustRightInd w:val="0"/>
        <w:jc w:val="left"/>
        <w:rPr>
          <w:rFonts w:cs="TTE2228400t00"/>
          <w:sz w:val="20"/>
          <w:szCs w:val="20"/>
          <w:lang w:eastAsia="en-AU"/>
        </w:rPr>
      </w:pPr>
    </w:p>
    <w:p w:rsidR="0016120F" w:rsidRPr="004A363A" w:rsidRDefault="0016120F" w:rsidP="0016120F">
      <w:pPr>
        <w:jc w:val="left"/>
        <w:rPr>
          <w:sz w:val="24"/>
          <w:szCs w:val="24"/>
        </w:rPr>
      </w:pPr>
      <w:r w:rsidRPr="004A363A">
        <w:rPr>
          <w:sz w:val="24"/>
          <w:szCs w:val="24"/>
        </w:rPr>
        <w:t>The objective of the KAHPF is:</w:t>
      </w:r>
    </w:p>
    <w:p w:rsidR="0016120F" w:rsidRDefault="0016120F" w:rsidP="0016120F">
      <w:pPr>
        <w:ind w:left="360"/>
        <w:jc w:val="left"/>
        <w:rPr>
          <w:i/>
          <w:color w:val="323E4F" w:themeColor="text2" w:themeShade="BF"/>
        </w:rPr>
      </w:pPr>
      <w:r w:rsidRPr="004A363A">
        <w:rPr>
          <w:i/>
          <w:color w:val="323E4F" w:themeColor="text2" w:themeShade="BF"/>
        </w:rPr>
        <w:t>To improve health outcomes for Aboriginal and Torres Strait Islander peoples in the Kimberley region of Western Australia through a co-ordinated approach to the planning and delivery of comprehensive primary health care services.</w:t>
      </w:r>
    </w:p>
    <w:p w:rsidR="00A86026" w:rsidRPr="00A86026" w:rsidRDefault="00A86026" w:rsidP="0016120F">
      <w:pPr>
        <w:ind w:left="360"/>
        <w:jc w:val="left"/>
        <w:rPr>
          <w:i/>
          <w:color w:val="323E4F" w:themeColor="text2" w:themeShade="BF"/>
          <w:sz w:val="18"/>
          <w:szCs w:val="18"/>
        </w:rPr>
      </w:pPr>
    </w:p>
    <w:p w:rsidR="00334378" w:rsidRPr="004A363A" w:rsidRDefault="004A363A" w:rsidP="00A86026">
      <w:pPr>
        <w:widowControl w:val="0"/>
        <w:autoSpaceDE w:val="0"/>
        <w:autoSpaceDN w:val="0"/>
        <w:adjustRightInd w:val="0"/>
        <w:jc w:val="left"/>
        <w:rPr>
          <w:rFonts w:cs="MyriadPro-Regular"/>
          <w:sz w:val="24"/>
          <w:szCs w:val="24"/>
          <w:lang w:val="en-AU"/>
        </w:rPr>
      </w:pPr>
      <w:r>
        <w:rPr>
          <w:rFonts w:cs="MyriadPro-Regular"/>
          <w:sz w:val="24"/>
          <w:szCs w:val="24"/>
          <w:lang w:val="en-AU"/>
        </w:rPr>
        <w:t>KAHPF recognises that improved coordination</w:t>
      </w:r>
      <w:r w:rsidR="00334378" w:rsidRPr="004A363A">
        <w:rPr>
          <w:rFonts w:cs="MyriadPro-Regular"/>
          <w:sz w:val="24"/>
          <w:szCs w:val="24"/>
          <w:lang w:val="en-AU"/>
        </w:rPr>
        <w:t xml:space="preserve"> can enhance the quality of services</w:t>
      </w:r>
      <w:r w:rsidR="0016120F" w:rsidRPr="004A363A">
        <w:rPr>
          <w:rFonts w:cs="MyriadPro-Regular"/>
          <w:sz w:val="24"/>
          <w:szCs w:val="24"/>
          <w:lang w:val="en-AU"/>
        </w:rPr>
        <w:t xml:space="preserve"> and benefit service providers </w:t>
      </w:r>
      <w:r w:rsidR="00C67D89">
        <w:rPr>
          <w:rFonts w:cs="MyriadPro-Regular"/>
          <w:sz w:val="24"/>
          <w:szCs w:val="24"/>
          <w:lang w:val="en-AU"/>
        </w:rPr>
        <w:t xml:space="preserve">and service recipients </w:t>
      </w:r>
      <w:r w:rsidR="0016120F" w:rsidRPr="004A363A">
        <w:rPr>
          <w:rFonts w:cs="MyriadPro-Regular"/>
          <w:sz w:val="24"/>
          <w:szCs w:val="24"/>
          <w:lang w:val="en-AU"/>
        </w:rPr>
        <w:t xml:space="preserve">via the </w:t>
      </w:r>
      <w:r w:rsidR="00334378" w:rsidRPr="004A363A">
        <w:rPr>
          <w:rFonts w:cs="MyriadPro-Regular"/>
          <w:sz w:val="24"/>
          <w:szCs w:val="24"/>
          <w:lang w:val="en-AU"/>
        </w:rPr>
        <w:t>efficient use of resources and improved working relationships.</w:t>
      </w:r>
      <w:r w:rsidR="0016120F" w:rsidRPr="004A363A">
        <w:rPr>
          <w:rFonts w:cs="MyriadPro-Regular"/>
          <w:sz w:val="24"/>
          <w:szCs w:val="24"/>
          <w:lang w:val="en-AU"/>
        </w:rPr>
        <w:t xml:space="preserve">  </w:t>
      </w:r>
    </w:p>
    <w:p w:rsidR="00334378" w:rsidRPr="004A363A" w:rsidRDefault="00334378" w:rsidP="00A86026">
      <w:pPr>
        <w:widowControl w:val="0"/>
        <w:autoSpaceDE w:val="0"/>
        <w:autoSpaceDN w:val="0"/>
        <w:adjustRightInd w:val="0"/>
        <w:jc w:val="left"/>
        <w:rPr>
          <w:rFonts w:cs="TTE2228400t00"/>
          <w:sz w:val="24"/>
          <w:szCs w:val="24"/>
          <w:lang w:eastAsia="en-AU"/>
        </w:rPr>
      </w:pPr>
    </w:p>
    <w:p w:rsidR="004A363A" w:rsidRPr="004A363A" w:rsidRDefault="004A363A" w:rsidP="00A86026">
      <w:pPr>
        <w:widowControl w:val="0"/>
        <w:autoSpaceDE w:val="0"/>
        <w:autoSpaceDN w:val="0"/>
        <w:adjustRightInd w:val="0"/>
        <w:jc w:val="left"/>
        <w:rPr>
          <w:rFonts w:cs="TTE2228400t00"/>
          <w:sz w:val="24"/>
          <w:szCs w:val="24"/>
          <w:lang w:eastAsia="en-AU"/>
        </w:rPr>
      </w:pPr>
      <w:r>
        <w:rPr>
          <w:rFonts w:cs="TTE2228400t00"/>
          <w:sz w:val="24"/>
          <w:szCs w:val="24"/>
          <w:lang w:eastAsia="en-AU"/>
        </w:rPr>
        <w:t>KAHPF m</w:t>
      </w:r>
      <w:r w:rsidR="0016120F" w:rsidRPr="004A363A">
        <w:rPr>
          <w:rFonts w:cs="TTE2228400t00"/>
          <w:sz w:val="24"/>
          <w:szCs w:val="24"/>
          <w:lang w:eastAsia="en-AU"/>
        </w:rPr>
        <w:t>embers support the findings of the Closing the Gap Clearing House</w:t>
      </w:r>
      <w:r>
        <w:rPr>
          <w:rStyle w:val="FootnoteReference"/>
          <w:rFonts w:cs="TTE2228400t00"/>
          <w:sz w:val="24"/>
          <w:szCs w:val="24"/>
          <w:lang w:eastAsia="en-AU"/>
        </w:rPr>
        <w:footnoteReference w:id="8"/>
      </w:r>
      <w:r w:rsidR="0016120F" w:rsidRPr="004A363A">
        <w:rPr>
          <w:rFonts w:cs="TTE2228400t00"/>
          <w:sz w:val="24"/>
          <w:szCs w:val="24"/>
          <w:lang w:eastAsia="en-AU"/>
        </w:rPr>
        <w:t xml:space="preserve"> </w:t>
      </w:r>
      <w:r w:rsidR="00C67D89">
        <w:rPr>
          <w:rFonts w:cs="TTE2228400t00"/>
          <w:sz w:val="24"/>
          <w:szCs w:val="24"/>
          <w:lang w:eastAsia="en-AU"/>
        </w:rPr>
        <w:t xml:space="preserve">which </w:t>
      </w:r>
      <w:r>
        <w:rPr>
          <w:rFonts w:cs="TTE2228400t00"/>
          <w:sz w:val="24"/>
          <w:szCs w:val="24"/>
          <w:lang w:eastAsia="en-AU"/>
        </w:rPr>
        <w:t xml:space="preserve">found </w:t>
      </w:r>
      <w:r w:rsidRPr="004A363A">
        <w:rPr>
          <w:rFonts w:cs="MyriadPro-Regular"/>
          <w:sz w:val="24"/>
          <w:szCs w:val="24"/>
          <w:lang w:val="en-AU"/>
        </w:rPr>
        <w:t>evidence from process evaluations and documented practice experience that service delivery coordination initiatives designed with, and for, Indigenous populations must:</w:t>
      </w:r>
    </w:p>
    <w:p w:rsidR="004A363A" w:rsidRPr="00A86026" w:rsidRDefault="004A363A" w:rsidP="00A86026">
      <w:pPr>
        <w:pStyle w:val="ListParagraph"/>
        <w:widowControl w:val="0"/>
        <w:numPr>
          <w:ilvl w:val="0"/>
          <w:numId w:val="16"/>
        </w:numPr>
        <w:autoSpaceDE w:val="0"/>
        <w:autoSpaceDN w:val="0"/>
        <w:adjustRightInd w:val="0"/>
        <w:rPr>
          <w:rFonts w:asciiTheme="minorHAnsi" w:hAnsiTheme="minorHAnsi" w:cs="MyriadPro-Regular"/>
        </w:rPr>
      </w:pPr>
      <w:r w:rsidRPr="00A86026">
        <w:rPr>
          <w:rFonts w:asciiTheme="minorHAnsi" w:hAnsiTheme="minorHAnsi" w:cs="MyriadPro-Regular"/>
        </w:rPr>
        <w:t>focus on outcomes</w:t>
      </w:r>
    </w:p>
    <w:p w:rsidR="004A363A" w:rsidRPr="00A86026" w:rsidRDefault="004A363A" w:rsidP="00A86026">
      <w:pPr>
        <w:pStyle w:val="ListParagraph"/>
        <w:widowControl w:val="0"/>
        <w:numPr>
          <w:ilvl w:val="0"/>
          <w:numId w:val="16"/>
        </w:numPr>
        <w:autoSpaceDE w:val="0"/>
        <w:autoSpaceDN w:val="0"/>
        <w:adjustRightInd w:val="0"/>
        <w:rPr>
          <w:rFonts w:asciiTheme="minorHAnsi" w:hAnsiTheme="minorHAnsi" w:cs="MyriadPro-Regular"/>
        </w:rPr>
      </w:pPr>
      <w:r w:rsidRPr="00A86026">
        <w:rPr>
          <w:rFonts w:asciiTheme="minorHAnsi" w:hAnsiTheme="minorHAnsi" w:cs="MyriadPro-Regular"/>
        </w:rPr>
        <w:t>be culturally appropriate</w:t>
      </w:r>
    </w:p>
    <w:p w:rsidR="004A363A" w:rsidRPr="00A86026" w:rsidRDefault="004A363A" w:rsidP="00A86026">
      <w:pPr>
        <w:pStyle w:val="ListParagraph"/>
        <w:widowControl w:val="0"/>
        <w:numPr>
          <w:ilvl w:val="0"/>
          <w:numId w:val="16"/>
        </w:numPr>
        <w:autoSpaceDE w:val="0"/>
        <w:autoSpaceDN w:val="0"/>
        <w:adjustRightInd w:val="0"/>
        <w:rPr>
          <w:rFonts w:asciiTheme="minorHAnsi" w:hAnsiTheme="minorHAnsi" w:cs="MyriadPro-Regular"/>
        </w:rPr>
      </w:pPr>
      <w:r w:rsidRPr="00A86026">
        <w:rPr>
          <w:rFonts w:asciiTheme="minorHAnsi" w:hAnsiTheme="minorHAnsi" w:cs="MyriadPro-Regular"/>
        </w:rPr>
        <w:t>invest time and resources into community consultations</w:t>
      </w:r>
    </w:p>
    <w:p w:rsidR="00A86026" w:rsidRPr="00A86026" w:rsidRDefault="004A363A" w:rsidP="00A86026">
      <w:pPr>
        <w:pStyle w:val="ListParagraph"/>
        <w:widowControl w:val="0"/>
        <w:numPr>
          <w:ilvl w:val="0"/>
          <w:numId w:val="16"/>
        </w:numPr>
        <w:autoSpaceDE w:val="0"/>
        <w:autoSpaceDN w:val="0"/>
        <w:adjustRightInd w:val="0"/>
        <w:rPr>
          <w:rFonts w:asciiTheme="minorHAnsi" w:hAnsiTheme="minorHAnsi" w:cs="MyriadPro-Regular"/>
        </w:rPr>
      </w:pPr>
      <w:r w:rsidRPr="00A86026">
        <w:rPr>
          <w:rFonts w:asciiTheme="minorHAnsi" w:hAnsiTheme="minorHAnsi" w:cs="MyriadPro-Regular"/>
        </w:rPr>
        <w:t>a</w:t>
      </w:r>
      <w:r w:rsidR="00A86026" w:rsidRPr="00A86026">
        <w:rPr>
          <w:rFonts w:asciiTheme="minorHAnsi" w:hAnsiTheme="minorHAnsi" w:cs="MyriadPro-Regular"/>
        </w:rPr>
        <w:t>pply a strengths-based approach</w:t>
      </w:r>
    </w:p>
    <w:p w:rsidR="004A363A" w:rsidRPr="00A86026" w:rsidRDefault="004A363A" w:rsidP="00A86026">
      <w:pPr>
        <w:pStyle w:val="ListParagraph"/>
        <w:widowControl w:val="0"/>
        <w:numPr>
          <w:ilvl w:val="0"/>
          <w:numId w:val="16"/>
        </w:numPr>
        <w:autoSpaceDE w:val="0"/>
        <w:autoSpaceDN w:val="0"/>
        <w:adjustRightInd w:val="0"/>
        <w:rPr>
          <w:rFonts w:asciiTheme="minorHAnsi" w:hAnsiTheme="minorHAnsi" w:cs="MyriadPro-Regular"/>
        </w:rPr>
      </w:pPr>
      <w:r w:rsidRPr="00A86026">
        <w:rPr>
          <w:rFonts w:asciiTheme="minorHAnsi" w:hAnsiTheme="minorHAnsi" w:cs="MyriadPro-Regular"/>
        </w:rPr>
        <w:t>support Indigenous and non-Indigenous staff.</w:t>
      </w:r>
    </w:p>
    <w:p w:rsidR="00A86026" w:rsidRDefault="00A86026" w:rsidP="00A86026">
      <w:pPr>
        <w:autoSpaceDE w:val="0"/>
        <w:autoSpaceDN w:val="0"/>
        <w:adjustRightInd w:val="0"/>
        <w:jc w:val="left"/>
        <w:rPr>
          <w:rFonts w:cs="MyriadPro-Regular"/>
          <w:sz w:val="24"/>
          <w:szCs w:val="24"/>
          <w:lang w:val="en-AU"/>
        </w:rPr>
      </w:pPr>
    </w:p>
    <w:p w:rsidR="00A86026" w:rsidRDefault="00187AC9" w:rsidP="00A86026">
      <w:pPr>
        <w:autoSpaceDE w:val="0"/>
        <w:autoSpaceDN w:val="0"/>
        <w:adjustRightInd w:val="0"/>
        <w:jc w:val="left"/>
        <w:rPr>
          <w:rFonts w:cs="MyriadPro-Regular"/>
          <w:sz w:val="24"/>
          <w:szCs w:val="24"/>
          <w:lang w:val="en-AU"/>
        </w:rPr>
      </w:pPr>
      <w:r>
        <w:rPr>
          <w:rFonts w:cs="MyriadPro-Regular"/>
          <w:sz w:val="24"/>
          <w:szCs w:val="24"/>
          <w:lang w:val="en-AU"/>
        </w:rPr>
        <w:t>KAHPF members</w:t>
      </w:r>
      <w:r w:rsidR="00A86026">
        <w:rPr>
          <w:rFonts w:cs="MyriadPro-Regular"/>
          <w:sz w:val="24"/>
          <w:szCs w:val="24"/>
          <w:lang w:val="en-AU"/>
        </w:rPr>
        <w:t xml:space="preserve"> also </w:t>
      </w:r>
      <w:r>
        <w:rPr>
          <w:rFonts w:cs="MyriadPro-Regular"/>
          <w:sz w:val="24"/>
          <w:szCs w:val="24"/>
          <w:lang w:val="en-AU"/>
        </w:rPr>
        <w:t>concur</w:t>
      </w:r>
      <w:r w:rsidR="00A86026">
        <w:rPr>
          <w:rFonts w:cs="MyriadPro-Regular"/>
          <w:sz w:val="24"/>
          <w:szCs w:val="24"/>
          <w:lang w:val="en-AU"/>
        </w:rPr>
        <w:t xml:space="preserve"> with the </w:t>
      </w:r>
      <w:r>
        <w:rPr>
          <w:rFonts w:cs="MyriadPro-Regular"/>
          <w:sz w:val="24"/>
          <w:szCs w:val="24"/>
          <w:lang w:val="en-AU"/>
        </w:rPr>
        <w:t>factors</w:t>
      </w:r>
      <w:r w:rsidR="00A86026">
        <w:rPr>
          <w:rFonts w:cs="MyriadPro-Regular"/>
          <w:sz w:val="24"/>
          <w:szCs w:val="24"/>
          <w:lang w:val="en-AU"/>
        </w:rPr>
        <w:t xml:space="preserve"> </w:t>
      </w:r>
      <w:r w:rsidR="009432E6">
        <w:rPr>
          <w:rFonts w:cs="MyriadPro-Regular"/>
          <w:sz w:val="24"/>
          <w:szCs w:val="24"/>
          <w:lang w:val="en-AU"/>
        </w:rPr>
        <w:t>the Closing the Gap paper</w:t>
      </w:r>
      <w:r>
        <w:rPr>
          <w:rFonts w:cs="MyriadPro-Regular"/>
          <w:sz w:val="24"/>
          <w:szCs w:val="24"/>
          <w:lang w:val="en-AU"/>
        </w:rPr>
        <w:t xml:space="preserve"> </w:t>
      </w:r>
      <w:r w:rsidR="009432E6">
        <w:rPr>
          <w:rFonts w:cs="MyriadPro-Regular"/>
          <w:sz w:val="24"/>
          <w:szCs w:val="24"/>
          <w:lang w:val="en-AU"/>
        </w:rPr>
        <w:t>identifie</w:t>
      </w:r>
      <w:r>
        <w:rPr>
          <w:rFonts w:cs="MyriadPro-Regular"/>
          <w:sz w:val="24"/>
          <w:szCs w:val="24"/>
          <w:lang w:val="en-AU"/>
        </w:rPr>
        <w:t xml:space="preserve">d that </w:t>
      </w:r>
      <w:r w:rsidR="0030690F">
        <w:rPr>
          <w:rFonts w:cs="MyriadPro-Regular"/>
          <w:sz w:val="24"/>
          <w:szCs w:val="24"/>
          <w:lang w:val="en-AU"/>
        </w:rPr>
        <w:t>do not support coordinated service delivery,</w:t>
      </w:r>
      <w:r w:rsidR="00A86026">
        <w:rPr>
          <w:rFonts w:cs="MyriadPro-Regular"/>
          <w:sz w:val="24"/>
          <w:szCs w:val="24"/>
          <w:lang w:val="en-AU"/>
        </w:rPr>
        <w:t xml:space="preserve"> particularly:</w:t>
      </w:r>
    </w:p>
    <w:p w:rsidR="00A86026" w:rsidRPr="00A86026" w:rsidRDefault="00A86026" w:rsidP="00A86026">
      <w:pPr>
        <w:pStyle w:val="ListParagraph"/>
        <w:numPr>
          <w:ilvl w:val="0"/>
          <w:numId w:val="15"/>
        </w:numPr>
        <w:autoSpaceDE w:val="0"/>
        <w:autoSpaceDN w:val="0"/>
        <w:adjustRightInd w:val="0"/>
        <w:rPr>
          <w:rFonts w:asciiTheme="minorHAnsi" w:hAnsiTheme="minorHAnsi" w:cs="MyriadPro-Regular"/>
        </w:rPr>
      </w:pPr>
      <w:r w:rsidRPr="00A86026">
        <w:rPr>
          <w:rFonts w:asciiTheme="minorHAnsi" w:hAnsiTheme="minorHAnsi" w:cs="MyriadPro-Regular"/>
        </w:rPr>
        <w:t>Lack of time and resources (human, capital and financial) to negotiate coordinati</w:t>
      </w:r>
      <w:r w:rsidR="00654EAE">
        <w:rPr>
          <w:rFonts w:asciiTheme="minorHAnsi" w:hAnsiTheme="minorHAnsi" w:cs="MyriadPro-Regular"/>
        </w:rPr>
        <w:t>on and partnership arrangements</w:t>
      </w:r>
    </w:p>
    <w:p w:rsidR="00A86026" w:rsidRPr="00A86026" w:rsidRDefault="00654EAE" w:rsidP="00A86026">
      <w:pPr>
        <w:pStyle w:val="ListParagraph"/>
        <w:numPr>
          <w:ilvl w:val="0"/>
          <w:numId w:val="15"/>
        </w:numPr>
        <w:autoSpaceDE w:val="0"/>
        <w:autoSpaceDN w:val="0"/>
        <w:adjustRightInd w:val="0"/>
        <w:rPr>
          <w:rFonts w:asciiTheme="minorHAnsi" w:hAnsiTheme="minorHAnsi" w:cs="MyriadPro-Regular"/>
        </w:rPr>
      </w:pPr>
      <w:r>
        <w:rPr>
          <w:rFonts w:asciiTheme="minorHAnsi" w:hAnsiTheme="minorHAnsi" w:cs="MyriadPro-Regular"/>
        </w:rPr>
        <w:t>I</w:t>
      </w:r>
      <w:r w:rsidR="00A86026" w:rsidRPr="00A86026">
        <w:rPr>
          <w:rFonts w:asciiTheme="minorHAnsi" w:hAnsiTheme="minorHAnsi" w:cs="MyriadPro-Regular"/>
        </w:rPr>
        <w:t>nflexible organisational structures or service delivery models, including ‘silo’-based frameworks</w:t>
      </w:r>
    </w:p>
    <w:p w:rsidR="00A86026" w:rsidRPr="00A86026" w:rsidRDefault="00A86026" w:rsidP="00A86026">
      <w:pPr>
        <w:pStyle w:val="ListParagraph"/>
        <w:numPr>
          <w:ilvl w:val="0"/>
          <w:numId w:val="15"/>
        </w:numPr>
        <w:autoSpaceDE w:val="0"/>
        <w:autoSpaceDN w:val="0"/>
        <w:adjustRightInd w:val="0"/>
        <w:jc w:val="both"/>
        <w:rPr>
          <w:rFonts w:asciiTheme="minorHAnsi" w:hAnsiTheme="minorHAnsi" w:cs="MyriadPro-Regular"/>
        </w:rPr>
      </w:pPr>
      <w:r w:rsidRPr="00A86026">
        <w:rPr>
          <w:rFonts w:asciiTheme="minorHAnsi" w:hAnsiTheme="minorHAnsi" w:cs="MyriadPro-Regular"/>
        </w:rPr>
        <w:t>‘</w:t>
      </w:r>
      <w:r w:rsidR="00654EAE">
        <w:rPr>
          <w:rFonts w:asciiTheme="minorHAnsi" w:hAnsiTheme="minorHAnsi" w:cs="MyriadPro-Regular"/>
        </w:rPr>
        <w:t>O</w:t>
      </w:r>
      <w:r w:rsidRPr="00A86026">
        <w:rPr>
          <w:rFonts w:asciiTheme="minorHAnsi" w:hAnsiTheme="minorHAnsi" w:cs="MyriadPro-Regular"/>
        </w:rPr>
        <w:t>ne-size-fits-all’ approaches that ignore local diversity</w:t>
      </w:r>
    </w:p>
    <w:p w:rsidR="00A86026" w:rsidRPr="00A86026" w:rsidRDefault="00654EAE" w:rsidP="00A86026">
      <w:pPr>
        <w:pStyle w:val="ListParagraph"/>
        <w:numPr>
          <w:ilvl w:val="0"/>
          <w:numId w:val="15"/>
        </w:numPr>
        <w:autoSpaceDE w:val="0"/>
        <w:autoSpaceDN w:val="0"/>
        <w:adjustRightInd w:val="0"/>
        <w:jc w:val="both"/>
        <w:rPr>
          <w:rFonts w:asciiTheme="minorHAnsi" w:hAnsiTheme="minorHAnsi" w:cs="MyriadPro-Regular"/>
        </w:rPr>
      </w:pPr>
      <w:r>
        <w:rPr>
          <w:rFonts w:asciiTheme="minorHAnsi" w:hAnsiTheme="minorHAnsi" w:cs="MyriadPro-Regular"/>
        </w:rPr>
        <w:t>P</w:t>
      </w:r>
      <w:r w:rsidR="00A86026" w:rsidRPr="00A86026">
        <w:rPr>
          <w:rFonts w:asciiTheme="minorHAnsi" w:hAnsiTheme="minorHAnsi" w:cs="MyriadPro-Regular"/>
        </w:rPr>
        <w:t>rogram</w:t>
      </w:r>
      <w:r w:rsidR="00A86026">
        <w:rPr>
          <w:rFonts w:asciiTheme="minorHAnsi" w:hAnsiTheme="minorHAnsi" w:cs="MyriadPro-Regular"/>
        </w:rPr>
        <w:t>me</w:t>
      </w:r>
      <w:r w:rsidR="00A86026" w:rsidRPr="00A86026">
        <w:rPr>
          <w:rFonts w:asciiTheme="minorHAnsi" w:hAnsiTheme="minorHAnsi" w:cs="MyriadPro-Regular"/>
        </w:rPr>
        <w:t xml:space="preserve"> partners that lack clearly defined roles or responsibilities.</w:t>
      </w:r>
    </w:p>
    <w:p w:rsidR="0016120F" w:rsidRDefault="0016120F" w:rsidP="0016120F">
      <w:pPr>
        <w:autoSpaceDE w:val="0"/>
        <w:autoSpaceDN w:val="0"/>
        <w:adjustRightInd w:val="0"/>
        <w:jc w:val="left"/>
        <w:rPr>
          <w:rFonts w:cs="TTE2228400t00"/>
          <w:lang w:eastAsia="en-AU"/>
        </w:rPr>
      </w:pPr>
    </w:p>
    <w:p w:rsidR="0030690F" w:rsidRDefault="009432E6" w:rsidP="009432E6">
      <w:pPr>
        <w:autoSpaceDE w:val="0"/>
        <w:autoSpaceDN w:val="0"/>
        <w:adjustRightInd w:val="0"/>
        <w:jc w:val="left"/>
        <w:rPr>
          <w:rFonts w:cs="TTE2228400t00"/>
          <w:sz w:val="24"/>
          <w:szCs w:val="24"/>
          <w:lang w:eastAsia="en-AU"/>
        </w:rPr>
      </w:pPr>
      <w:r w:rsidRPr="009432E6">
        <w:rPr>
          <w:rFonts w:cs="ArialMT"/>
          <w:sz w:val="24"/>
          <w:szCs w:val="24"/>
          <w:lang w:val="en-AU"/>
        </w:rPr>
        <w:t>Sustainable, long-term measures that are driven at the community level have long been recognised as the most appropria</w:t>
      </w:r>
      <w:r>
        <w:rPr>
          <w:rFonts w:cs="ArialMT"/>
          <w:sz w:val="24"/>
          <w:szCs w:val="24"/>
          <w:lang w:val="en-AU"/>
        </w:rPr>
        <w:t xml:space="preserve">te for the diverse cultural and </w:t>
      </w:r>
      <w:r w:rsidRPr="009432E6">
        <w:rPr>
          <w:rFonts w:cs="ArialMT"/>
          <w:sz w:val="24"/>
          <w:szCs w:val="24"/>
          <w:lang w:val="en-AU"/>
        </w:rPr>
        <w:t>health needs of Indigenous Australians</w:t>
      </w:r>
      <w:r>
        <w:rPr>
          <w:rFonts w:cs="TTE2228400t00"/>
          <w:sz w:val="24"/>
          <w:szCs w:val="24"/>
          <w:lang w:eastAsia="en-AU"/>
        </w:rPr>
        <w:t xml:space="preserve">.  </w:t>
      </w:r>
    </w:p>
    <w:p w:rsidR="0030690F" w:rsidRDefault="0030690F" w:rsidP="009432E6">
      <w:pPr>
        <w:autoSpaceDE w:val="0"/>
        <w:autoSpaceDN w:val="0"/>
        <w:adjustRightInd w:val="0"/>
        <w:jc w:val="left"/>
        <w:rPr>
          <w:rFonts w:cs="TTE2228400t00"/>
          <w:sz w:val="24"/>
          <w:szCs w:val="24"/>
          <w:lang w:eastAsia="en-AU"/>
        </w:rPr>
      </w:pPr>
    </w:p>
    <w:p w:rsidR="0030690F" w:rsidRPr="0030690F" w:rsidRDefault="0016120F" w:rsidP="009432E6">
      <w:pPr>
        <w:autoSpaceDE w:val="0"/>
        <w:autoSpaceDN w:val="0"/>
        <w:adjustRightInd w:val="0"/>
        <w:jc w:val="left"/>
        <w:rPr>
          <w:rFonts w:cs="TTE2228400t00"/>
          <w:sz w:val="24"/>
          <w:szCs w:val="24"/>
          <w:lang w:eastAsia="en-AU"/>
        </w:rPr>
      </w:pPr>
      <w:r w:rsidRPr="0030690F">
        <w:rPr>
          <w:rFonts w:cs="TTE2228400t00"/>
          <w:sz w:val="24"/>
          <w:szCs w:val="24"/>
          <w:lang w:eastAsia="en-AU"/>
        </w:rPr>
        <w:t>KAHPF advocates that</w:t>
      </w:r>
      <w:r w:rsidR="00043995" w:rsidRPr="0030690F">
        <w:rPr>
          <w:rFonts w:cs="TTE2228400t00"/>
          <w:sz w:val="24"/>
          <w:szCs w:val="24"/>
          <w:lang w:eastAsia="en-AU"/>
        </w:rPr>
        <w:t xml:space="preserve"> any reforms of</w:t>
      </w:r>
      <w:r w:rsidR="00A86026" w:rsidRPr="0030690F">
        <w:rPr>
          <w:rFonts w:cs="TTE2228400t00"/>
          <w:sz w:val="24"/>
          <w:szCs w:val="24"/>
          <w:lang w:eastAsia="en-AU"/>
        </w:rPr>
        <w:t xml:space="preserve"> </w:t>
      </w:r>
      <w:r w:rsidRPr="0030690F">
        <w:rPr>
          <w:rFonts w:cs="TTE2228400t00"/>
          <w:sz w:val="24"/>
          <w:szCs w:val="24"/>
          <w:lang w:eastAsia="en-AU"/>
        </w:rPr>
        <w:t>regional service</w:t>
      </w:r>
      <w:r w:rsidR="00043995" w:rsidRPr="0030690F">
        <w:rPr>
          <w:rFonts w:cs="TTE2228400t00"/>
          <w:sz w:val="24"/>
          <w:szCs w:val="24"/>
          <w:lang w:eastAsia="en-AU"/>
        </w:rPr>
        <w:t xml:space="preserve"> delivery</w:t>
      </w:r>
      <w:r w:rsidRPr="0030690F">
        <w:rPr>
          <w:rFonts w:cs="TTE2228400t00"/>
          <w:sz w:val="24"/>
          <w:szCs w:val="24"/>
          <w:lang w:eastAsia="en-AU"/>
        </w:rPr>
        <w:t xml:space="preserve"> </w:t>
      </w:r>
      <w:r w:rsidR="009432E6" w:rsidRPr="0030690F">
        <w:rPr>
          <w:rFonts w:cs="TTE2228400t00"/>
          <w:sz w:val="24"/>
          <w:szCs w:val="24"/>
          <w:lang w:eastAsia="en-AU"/>
        </w:rPr>
        <w:t>must</w:t>
      </w:r>
      <w:r w:rsidR="0030690F" w:rsidRPr="0030690F">
        <w:rPr>
          <w:rFonts w:cs="TTE2228400t00"/>
          <w:sz w:val="24"/>
          <w:szCs w:val="24"/>
          <w:lang w:eastAsia="en-AU"/>
        </w:rPr>
        <w:t>:</w:t>
      </w:r>
    </w:p>
    <w:p w:rsidR="0030690F" w:rsidRPr="0030690F" w:rsidRDefault="0016120F" w:rsidP="0030690F">
      <w:pPr>
        <w:pStyle w:val="ListParagraph"/>
        <w:numPr>
          <w:ilvl w:val="0"/>
          <w:numId w:val="21"/>
        </w:numPr>
        <w:autoSpaceDE w:val="0"/>
        <w:autoSpaceDN w:val="0"/>
        <w:adjustRightInd w:val="0"/>
        <w:rPr>
          <w:rFonts w:asciiTheme="minorHAnsi" w:hAnsiTheme="minorHAnsi" w:cs="ArialMT"/>
        </w:rPr>
      </w:pPr>
      <w:r w:rsidRPr="0030690F">
        <w:rPr>
          <w:rFonts w:asciiTheme="minorHAnsi" w:hAnsiTheme="minorHAnsi" w:cs="TTE2228400t00"/>
          <w:lang w:eastAsia="en-AU"/>
        </w:rPr>
        <w:t>support</w:t>
      </w:r>
      <w:r w:rsidR="00043995" w:rsidRPr="0030690F">
        <w:rPr>
          <w:rFonts w:asciiTheme="minorHAnsi" w:hAnsiTheme="minorHAnsi" w:cs="TTE2228400t00"/>
          <w:lang w:eastAsia="en-AU"/>
        </w:rPr>
        <w:t xml:space="preserve"> </w:t>
      </w:r>
      <w:r w:rsidRPr="0030690F">
        <w:rPr>
          <w:rFonts w:asciiTheme="minorHAnsi" w:hAnsiTheme="minorHAnsi" w:cs="TTE2228400t00"/>
          <w:lang w:eastAsia="en-AU"/>
        </w:rPr>
        <w:t>th</w:t>
      </w:r>
      <w:r w:rsidR="00A86026" w:rsidRPr="0030690F">
        <w:rPr>
          <w:rFonts w:asciiTheme="minorHAnsi" w:hAnsiTheme="minorHAnsi" w:cs="TTE2228400t00"/>
          <w:lang w:eastAsia="en-AU"/>
        </w:rPr>
        <w:t xml:space="preserve">e </w:t>
      </w:r>
      <w:r w:rsidR="00043995" w:rsidRPr="0030690F">
        <w:rPr>
          <w:rFonts w:asciiTheme="minorHAnsi" w:hAnsiTheme="minorHAnsi" w:cs="TTE2228400t00"/>
          <w:lang w:eastAsia="en-AU"/>
        </w:rPr>
        <w:t>coordination strategies</w:t>
      </w:r>
      <w:r w:rsidR="00A86026" w:rsidRPr="0030690F">
        <w:rPr>
          <w:rFonts w:asciiTheme="minorHAnsi" w:hAnsiTheme="minorHAnsi" w:cs="TTE2228400t00"/>
          <w:lang w:eastAsia="en-AU"/>
        </w:rPr>
        <w:t xml:space="preserve"> advised by the Closing the Gap report</w:t>
      </w:r>
    </w:p>
    <w:p w:rsidR="0030690F" w:rsidRPr="0030690F" w:rsidRDefault="009432E6" w:rsidP="0030690F">
      <w:pPr>
        <w:pStyle w:val="ListParagraph"/>
        <w:numPr>
          <w:ilvl w:val="0"/>
          <w:numId w:val="21"/>
        </w:numPr>
        <w:autoSpaceDE w:val="0"/>
        <w:autoSpaceDN w:val="0"/>
        <w:adjustRightInd w:val="0"/>
        <w:rPr>
          <w:rFonts w:asciiTheme="minorHAnsi" w:hAnsiTheme="minorHAnsi" w:cs="ArialMT"/>
        </w:rPr>
      </w:pPr>
      <w:r w:rsidRPr="0030690F">
        <w:rPr>
          <w:rFonts w:asciiTheme="minorHAnsi" w:hAnsiTheme="minorHAnsi" w:cs="TTE2228400t00"/>
          <w:lang w:eastAsia="en-AU"/>
        </w:rPr>
        <w:t>replace</w:t>
      </w:r>
      <w:r w:rsidR="0016120F" w:rsidRPr="0030690F">
        <w:rPr>
          <w:rFonts w:asciiTheme="minorHAnsi" w:hAnsiTheme="minorHAnsi" w:cs="TTE2228400t00"/>
          <w:lang w:eastAsia="en-AU"/>
        </w:rPr>
        <w:t xml:space="preserve"> the silo approach</w:t>
      </w:r>
      <w:r w:rsidRPr="0030690F">
        <w:rPr>
          <w:rFonts w:asciiTheme="minorHAnsi" w:hAnsiTheme="minorHAnsi" w:cs="ArialMT"/>
        </w:rPr>
        <w:t xml:space="preserve"> with </w:t>
      </w:r>
      <w:r w:rsidR="0016120F" w:rsidRPr="0030690F">
        <w:rPr>
          <w:rFonts w:asciiTheme="minorHAnsi" w:hAnsiTheme="minorHAnsi" w:cs="TTE2228400t00"/>
          <w:lang w:eastAsia="en-AU"/>
        </w:rPr>
        <w:t>better integration, collaboration and coordination</w:t>
      </w:r>
      <w:r w:rsidR="00A86026" w:rsidRPr="0030690F">
        <w:rPr>
          <w:rFonts w:asciiTheme="minorHAnsi" w:hAnsiTheme="minorHAnsi" w:cs="TTE2228400t00"/>
          <w:lang w:eastAsia="en-AU"/>
        </w:rPr>
        <w:t xml:space="preserve"> of services founded on local</w:t>
      </w:r>
      <w:r w:rsidRPr="0030690F">
        <w:rPr>
          <w:rFonts w:asciiTheme="minorHAnsi" w:hAnsiTheme="minorHAnsi" w:cs="TTE2228400t00"/>
          <w:lang w:eastAsia="en-AU"/>
        </w:rPr>
        <w:t xml:space="preserve"> service design, local</w:t>
      </w:r>
      <w:r w:rsidR="00A86026" w:rsidRPr="0030690F">
        <w:rPr>
          <w:rFonts w:asciiTheme="minorHAnsi" w:hAnsiTheme="minorHAnsi" w:cs="TTE2228400t00"/>
          <w:lang w:eastAsia="en-AU"/>
        </w:rPr>
        <w:t xml:space="preserve"> governance, local delivery</w:t>
      </w:r>
      <w:r w:rsidRPr="0030690F">
        <w:rPr>
          <w:rFonts w:asciiTheme="minorHAnsi" w:hAnsiTheme="minorHAnsi" w:cs="TTE2228400t00"/>
          <w:lang w:eastAsia="en-AU"/>
        </w:rPr>
        <w:t xml:space="preserve"> and</w:t>
      </w:r>
      <w:r w:rsidR="00A86026" w:rsidRPr="0030690F">
        <w:rPr>
          <w:rFonts w:asciiTheme="minorHAnsi" w:hAnsiTheme="minorHAnsi" w:cs="TTE2228400t00"/>
          <w:lang w:eastAsia="en-AU"/>
        </w:rPr>
        <w:t xml:space="preserve"> local accountability</w:t>
      </w:r>
    </w:p>
    <w:p w:rsidR="0030690F" w:rsidRPr="0030690F" w:rsidRDefault="0030690F" w:rsidP="0030690F">
      <w:pPr>
        <w:pStyle w:val="ListParagraph"/>
        <w:numPr>
          <w:ilvl w:val="0"/>
          <w:numId w:val="21"/>
        </w:numPr>
        <w:autoSpaceDE w:val="0"/>
        <w:autoSpaceDN w:val="0"/>
        <w:adjustRightInd w:val="0"/>
        <w:rPr>
          <w:rFonts w:asciiTheme="minorHAnsi" w:hAnsiTheme="minorHAnsi" w:cs="ArialMT"/>
        </w:rPr>
      </w:pPr>
      <w:r w:rsidRPr="0030690F">
        <w:rPr>
          <w:rFonts w:asciiTheme="minorHAnsi" w:hAnsiTheme="minorHAnsi" w:cs="TTE2228400t00"/>
          <w:lang w:eastAsia="en-AU"/>
        </w:rPr>
        <w:t>acknowledge the need for a holistic approach which includes the spiritual and cultural dimensions of health</w:t>
      </w:r>
    </w:p>
    <w:p w:rsidR="0016120F" w:rsidRPr="0030690F" w:rsidRDefault="0030690F" w:rsidP="0030690F">
      <w:pPr>
        <w:pStyle w:val="ListParagraph"/>
        <w:numPr>
          <w:ilvl w:val="0"/>
          <w:numId w:val="21"/>
        </w:numPr>
        <w:autoSpaceDE w:val="0"/>
        <w:autoSpaceDN w:val="0"/>
        <w:adjustRightInd w:val="0"/>
        <w:rPr>
          <w:rFonts w:asciiTheme="minorHAnsi" w:hAnsiTheme="minorHAnsi" w:cs="ArialMT"/>
        </w:rPr>
      </w:pPr>
      <w:r w:rsidRPr="0030690F">
        <w:rPr>
          <w:rFonts w:asciiTheme="minorHAnsi" w:hAnsiTheme="minorHAnsi" w:cs="TTE2228400t00"/>
          <w:lang w:eastAsia="en-AU"/>
        </w:rPr>
        <w:t xml:space="preserve">respect the role of </w:t>
      </w:r>
      <w:r w:rsidR="00A86026" w:rsidRPr="0030690F">
        <w:rPr>
          <w:rFonts w:asciiTheme="minorHAnsi" w:hAnsiTheme="minorHAnsi" w:cs="TTE2228400t00"/>
          <w:lang w:eastAsia="en-AU"/>
        </w:rPr>
        <w:t xml:space="preserve">Aboriginal people </w:t>
      </w:r>
      <w:r w:rsidRPr="0030690F">
        <w:rPr>
          <w:rFonts w:asciiTheme="minorHAnsi" w:hAnsiTheme="minorHAnsi" w:cs="TTE2228400t00"/>
          <w:lang w:eastAsia="en-AU"/>
        </w:rPr>
        <w:t>as</w:t>
      </w:r>
      <w:r w:rsidR="00A86026" w:rsidRPr="0030690F">
        <w:rPr>
          <w:rFonts w:asciiTheme="minorHAnsi" w:hAnsiTheme="minorHAnsi" w:cs="TTE2228400t00"/>
          <w:lang w:eastAsia="en-AU"/>
        </w:rPr>
        <w:t xml:space="preserve"> central </w:t>
      </w:r>
      <w:r w:rsidRPr="0030690F">
        <w:rPr>
          <w:rFonts w:asciiTheme="minorHAnsi" w:hAnsiTheme="minorHAnsi" w:cs="TTE2228400t00"/>
          <w:lang w:eastAsia="en-AU"/>
        </w:rPr>
        <w:t>to</w:t>
      </w:r>
      <w:r w:rsidR="00A86026" w:rsidRPr="0030690F">
        <w:rPr>
          <w:rFonts w:asciiTheme="minorHAnsi" w:hAnsiTheme="minorHAnsi" w:cs="TTE2228400t00"/>
          <w:lang w:eastAsia="en-AU"/>
        </w:rPr>
        <w:t xml:space="preserve"> </w:t>
      </w:r>
      <w:r w:rsidR="009432E6" w:rsidRPr="0030690F">
        <w:rPr>
          <w:rFonts w:asciiTheme="minorHAnsi" w:hAnsiTheme="minorHAnsi" w:cs="TTE2228400t00"/>
          <w:lang w:eastAsia="en-AU"/>
        </w:rPr>
        <w:t xml:space="preserve">all </w:t>
      </w:r>
      <w:r w:rsidR="00A86026" w:rsidRPr="0030690F">
        <w:rPr>
          <w:rFonts w:asciiTheme="minorHAnsi" w:hAnsiTheme="minorHAnsi" w:cs="TTE2228400t00"/>
          <w:lang w:eastAsia="en-AU"/>
        </w:rPr>
        <w:t>decision making</w:t>
      </w:r>
      <w:r w:rsidR="00C67D89">
        <w:rPr>
          <w:rFonts w:asciiTheme="minorHAnsi" w:hAnsiTheme="minorHAnsi" w:cs="TTE2228400t00"/>
          <w:lang w:eastAsia="en-AU"/>
        </w:rPr>
        <w:t xml:space="preserve"> </w:t>
      </w:r>
    </w:p>
    <w:p w:rsidR="0030690F" w:rsidRPr="0030690F" w:rsidRDefault="0030690F" w:rsidP="0030690F">
      <w:pPr>
        <w:pStyle w:val="ListParagraph"/>
        <w:numPr>
          <w:ilvl w:val="0"/>
          <w:numId w:val="21"/>
        </w:numPr>
        <w:autoSpaceDE w:val="0"/>
        <w:autoSpaceDN w:val="0"/>
        <w:adjustRightInd w:val="0"/>
        <w:rPr>
          <w:rFonts w:asciiTheme="minorHAnsi" w:hAnsiTheme="minorHAnsi" w:cs="ArialMT"/>
        </w:rPr>
      </w:pPr>
      <w:r>
        <w:rPr>
          <w:rFonts w:asciiTheme="minorHAnsi" w:hAnsiTheme="minorHAnsi" w:cs="TTE2228400t00"/>
          <w:lang w:eastAsia="en-AU"/>
        </w:rPr>
        <w:t>ensure that external service providers work in partnership with local services</w:t>
      </w:r>
      <w:r w:rsidR="00654EAE">
        <w:rPr>
          <w:rFonts w:asciiTheme="minorHAnsi" w:hAnsiTheme="minorHAnsi" w:cs="TTE2228400t00"/>
          <w:lang w:eastAsia="en-AU"/>
        </w:rPr>
        <w:t>.</w:t>
      </w:r>
    </w:p>
    <w:p w:rsidR="0016120F" w:rsidRDefault="0016120F" w:rsidP="00A925EC">
      <w:pPr>
        <w:autoSpaceDE w:val="0"/>
        <w:autoSpaceDN w:val="0"/>
        <w:adjustRightInd w:val="0"/>
        <w:jc w:val="left"/>
        <w:rPr>
          <w:rFonts w:cs="TTE2228400t00"/>
          <w:sz w:val="24"/>
          <w:szCs w:val="24"/>
          <w:lang w:eastAsia="en-AU"/>
        </w:rPr>
      </w:pPr>
    </w:p>
    <w:p w:rsidR="00E209A8" w:rsidRPr="008564A8" w:rsidRDefault="00E209A8" w:rsidP="0026698A">
      <w:pPr>
        <w:autoSpaceDE w:val="0"/>
        <w:autoSpaceDN w:val="0"/>
        <w:adjustRightInd w:val="0"/>
        <w:jc w:val="left"/>
        <w:rPr>
          <w:rFonts w:cs="TTE2228400t00"/>
          <w:sz w:val="24"/>
          <w:szCs w:val="24"/>
          <w:lang w:eastAsia="en-AU"/>
        </w:rPr>
      </w:pPr>
    </w:p>
    <w:p w:rsidR="00264422" w:rsidRPr="00CA3FBD" w:rsidRDefault="007F39A6" w:rsidP="0026698A">
      <w:pPr>
        <w:autoSpaceDE w:val="0"/>
        <w:autoSpaceDN w:val="0"/>
        <w:adjustRightInd w:val="0"/>
        <w:jc w:val="left"/>
        <w:rPr>
          <w:rFonts w:cs="TTE2228400t00"/>
          <w:b/>
          <w:color w:val="1F4E79" w:themeColor="accent1" w:themeShade="80"/>
          <w:sz w:val="28"/>
          <w:szCs w:val="28"/>
          <w:lang w:eastAsia="en-AU"/>
        </w:rPr>
      </w:pPr>
      <w:r w:rsidRPr="007F39A6">
        <w:rPr>
          <w:rFonts w:cs="TTE2228400t00"/>
          <w:b/>
          <w:color w:val="1F4E79" w:themeColor="accent1" w:themeShade="80"/>
          <w:sz w:val="28"/>
          <w:szCs w:val="28"/>
          <w:u w:val="single"/>
          <w:lang w:eastAsia="en-AU"/>
        </w:rPr>
        <w:lastRenderedPageBreak/>
        <w:t>RECOMMENDATIONS</w:t>
      </w:r>
      <w:r>
        <w:rPr>
          <w:rFonts w:cs="TTE2228400t00"/>
          <w:b/>
          <w:color w:val="1F4E79" w:themeColor="accent1" w:themeShade="80"/>
          <w:sz w:val="28"/>
          <w:szCs w:val="28"/>
          <w:lang w:eastAsia="en-AU"/>
        </w:rPr>
        <w:t xml:space="preserve">: </w:t>
      </w:r>
      <w:r w:rsidR="008564A8" w:rsidRPr="00CA3FBD">
        <w:rPr>
          <w:rFonts w:cs="TTE2228400t00"/>
          <w:b/>
          <w:color w:val="1F4E79" w:themeColor="accent1" w:themeShade="80"/>
          <w:sz w:val="28"/>
          <w:szCs w:val="28"/>
          <w:lang w:eastAsia="en-AU"/>
        </w:rPr>
        <w:t xml:space="preserve">IMMEDIATE </w:t>
      </w:r>
      <w:r w:rsidR="00264422" w:rsidRPr="00CA3FBD">
        <w:rPr>
          <w:rFonts w:cs="TTE2228400t00"/>
          <w:b/>
          <w:color w:val="1F4E79" w:themeColor="accent1" w:themeShade="80"/>
          <w:sz w:val="28"/>
          <w:szCs w:val="28"/>
          <w:lang w:eastAsia="en-AU"/>
        </w:rPr>
        <w:t>CHANGE</w:t>
      </w:r>
      <w:r w:rsidR="008564A8" w:rsidRPr="00CA3FBD">
        <w:rPr>
          <w:rFonts w:cs="TTE2228400t00"/>
          <w:b/>
          <w:color w:val="1F4E79" w:themeColor="accent1" w:themeShade="80"/>
          <w:sz w:val="28"/>
          <w:szCs w:val="28"/>
          <w:lang w:eastAsia="en-AU"/>
        </w:rPr>
        <w:t>S THAT COULD BE MADE</w:t>
      </w:r>
      <w:r w:rsidR="0026698A" w:rsidRPr="00CA3FBD">
        <w:rPr>
          <w:rFonts w:cs="TTE2228400t00"/>
          <w:b/>
          <w:color w:val="1F4E79" w:themeColor="accent1" w:themeShade="80"/>
          <w:sz w:val="28"/>
          <w:szCs w:val="28"/>
          <w:lang w:eastAsia="en-AU"/>
        </w:rPr>
        <w:t xml:space="preserve"> BY THE WA GOVERNMENT</w:t>
      </w:r>
      <w:r w:rsidR="008564A8" w:rsidRPr="00CA3FBD">
        <w:rPr>
          <w:rFonts w:cs="TTE2228400t00"/>
          <w:b/>
          <w:color w:val="1F4E79" w:themeColor="accent1" w:themeShade="80"/>
          <w:sz w:val="28"/>
          <w:szCs w:val="28"/>
          <w:lang w:eastAsia="en-AU"/>
        </w:rPr>
        <w:t xml:space="preserve"> TO </w:t>
      </w:r>
      <w:r w:rsidR="00CA3FBD">
        <w:rPr>
          <w:rFonts w:cs="TTE2228400t00"/>
          <w:b/>
          <w:color w:val="1F4E79" w:themeColor="accent1" w:themeShade="80"/>
          <w:sz w:val="28"/>
          <w:szCs w:val="28"/>
          <w:lang w:eastAsia="en-AU"/>
        </w:rPr>
        <w:t>IMPROVE HEALTH OUTCOMES IN REMOTE COMMUNITIES</w:t>
      </w:r>
    </w:p>
    <w:p w:rsidR="0026698A" w:rsidRDefault="0026698A" w:rsidP="006E639B">
      <w:pPr>
        <w:autoSpaceDE w:val="0"/>
        <w:autoSpaceDN w:val="0"/>
        <w:adjustRightInd w:val="0"/>
        <w:jc w:val="both"/>
        <w:rPr>
          <w:rFonts w:cs="TTE2228400t00"/>
          <w:b/>
          <w:sz w:val="28"/>
          <w:szCs w:val="28"/>
          <w:lang w:eastAsia="en-AU"/>
        </w:rPr>
      </w:pPr>
    </w:p>
    <w:p w:rsidR="003431C4" w:rsidRDefault="003431C4" w:rsidP="00CA0079">
      <w:pPr>
        <w:autoSpaceDE w:val="0"/>
        <w:autoSpaceDN w:val="0"/>
        <w:adjustRightInd w:val="0"/>
        <w:jc w:val="left"/>
        <w:rPr>
          <w:rFonts w:cs="TTE2228400t00"/>
          <w:sz w:val="24"/>
          <w:szCs w:val="24"/>
          <w:lang w:eastAsia="en-AU"/>
        </w:rPr>
      </w:pPr>
      <w:r w:rsidRPr="00CA0079">
        <w:rPr>
          <w:rFonts w:cs="TTE2228400t00"/>
          <w:sz w:val="24"/>
          <w:szCs w:val="24"/>
          <w:lang w:eastAsia="en-AU"/>
        </w:rPr>
        <w:t xml:space="preserve">KAHPF has identified a number of changes that </w:t>
      </w:r>
      <w:r w:rsidR="00CA3FBD">
        <w:rPr>
          <w:rFonts w:cs="TTE2228400t00"/>
          <w:sz w:val="24"/>
          <w:szCs w:val="24"/>
          <w:lang w:eastAsia="en-AU"/>
        </w:rPr>
        <w:t>G</w:t>
      </w:r>
      <w:r w:rsidRPr="00CA0079">
        <w:rPr>
          <w:rFonts w:cs="TTE2228400t00"/>
          <w:sz w:val="24"/>
          <w:szCs w:val="24"/>
          <w:lang w:eastAsia="en-AU"/>
        </w:rPr>
        <w:t xml:space="preserve">overnment </w:t>
      </w:r>
      <w:r w:rsidR="00F50494">
        <w:rPr>
          <w:rFonts w:cs="TTE2228400t00"/>
          <w:sz w:val="24"/>
          <w:szCs w:val="24"/>
          <w:lang w:eastAsia="en-AU"/>
        </w:rPr>
        <w:t>c</w:t>
      </w:r>
      <w:r w:rsidRPr="00CA0079">
        <w:rPr>
          <w:rFonts w:cs="TTE2228400t00"/>
          <w:sz w:val="24"/>
          <w:szCs w:val="24"/>
          <w:lang w:eastAsia="en-AU"/>
        </w:rPr>
        <w:t>ould make that would have an immediate impact on the health status of remote communities:</w:t>
      </w:r>
    </w:p>
    <w:p w:rsidR="00CA3FBD" w:rsidRPr="00CA3FBD" w:rsidRDefault="00CA3FBD" w:rsidP="00CA0079">
      <w:pPr>
        <w:autoSpaceDE w:val="0"/>
        <w:autoSpaceDN w:val="0"/>
        <w:adjustRightInd w:val="0"/>
        <w:jc w:val="left"/>
        <w:rPr>
          <w:rFonts w:cs="TTE2228400t00"/>
          <w:sz w:val="20"/>
          <w:szCs w:val="20"/>
          <w:lang w:eastAsia="en-AU"/>
        </w:rPr>
      </w:pPr>
    </w:p>
    <w:p w:rsidR="00F514B8" w:rsidRPr="00F514B8" w:rsidRDefault="00F514B8" w:rsidP="00F514B8">
      <w:pPr>
        <w:pStyle w:val="ListParagraph"/>
        <w:numPr>
          <w:ilvl w:val="0"/>
          <w:numId w:val="7"/>
        </w:numPr>
        <w:autoSpaceDE w:val="0"/>
        <w:autoSpaceDN w:val="0"/>
        <w:adjustRightInd w:val="0"/>
        <w:rPr>
          <w:rFonts w:asciiTheme="minorHAnsi" w:hAnsiTheme="minorHAnsi" w:cs="TTE2228400t00"/>
          <w:lang w:eastAsia="en-AU"/>
        </w:rPr>
      </w:pPr>
      <w:r w:rsidRPr="0031313D">
        <w:rPr>
          <w:rFonts w:asciiTheme="minorHAnsi" w:hAnsiTheme="minorHAnsi" w:cs="TTE2228400t00"/>
          <w:b/>
          <w:lang w:eastAsia="en-AU"/>
        </w:rPr>
        <w:t xml:space="preserve">Amend the </w:t>
      </w:r>
      <w:r>
        <w:rPr>
          <w:rFonts w:asciiTheme="minorHAnsi" w:hAnsiTheme="minorHAnsi" w:cs="TTE2228400t00"/>
          <w:b/>
          <w:lang w:eastAsia="en-AU"/>
        </w:rPr>
        <w:t>regulation of minor plumbing work</w:t>
      </w:r>
      <w:r w:rsidRPr="00CA0079">
        <w:rPr>
          <w:rFonts w:asciiTheme="minorHAnsi" w:hAnsiTheme="minorHAnsi" w:cs="TTE2228400t00"/>
          <w:lang w:eastAsia="en-AU"/>
        </w:rPr>
        <w:t xml:space="preserve"> via </w:t>
      </w:r>
      <w:r w:rsidRPr="00CA0079">
        <w:rPr>
          <w:rFonts w:asciiTheme="minorHAnsi" w:hAnsiTheme="minorHAnsi"/>
        </w:rPr>
        <w:t xml:space="preserve">the introduction of a Restricted Plumbing License for Aboriginal Environmental Health </w:t>
      </w:r>
      <w:r>
        <w:rPr>
          <w:rFonts w:asciiTheme="minorHAnsi" w:hAnsiTheme="minorHAnsi"/>
        </w:rPr>
        <w:t>W</w:t>
      </w:r>
      <w:r w:rsidRPr="00CA0079">
        <w:rPr>
          <w:rFonts w:asciiTheme="minorHAnsi" w:hAnsiTheme="minorHAnsi"/>
        </w:rPr>
        <w:t>orkers.</w:t>
      </w:r>
      <w:r w:rsidRPr="00CA0079">
        <w:rPr>
          <w:rFonts w:asciiTheme="minorHAnsi" w:hAnsiTheme="minorHAnsi" w:cs="TTE2228400t00"/>
          <w:lang w:eastAsia="en-AU"/>
        </w:rPr>
        <w:t xml:space="preserve"> </w:t>
      </w:r>
      <w:r>
        <w:rPr>
          <w:rFonts w:asciiTheme="minorHAnsi" w:hAnsiTheme="minorHAnsi" w:cs="TTE2228400t00"/>
          <w:lang w:eastAsia="en-AU"/>
        </w:rPr>
        <w:t>Currently remote communities are at a disadvantage, with health risks compounded by reduced access to plumbing services. Reinstating the ability of</w:t>
      </w:r>
      <w:r w:rsidRPr="00CA0079">
        <w:rPr>
          <w:rFonts w:asciiTheme="minorHAnsi" w:hAnsiTheme="minorHAnsi" w:cs="TTE2228400t00"/>
          <w:lang w:eastAsia="en-AU"/>
        </w:rPr>
        <w:t xml:space="preserve"> </w:t>
      </w:r>
      <w:r>
        <w:rPr>
          <w:rFonts w:asciiTheme="minorHAnsi" w:hAnsiTheme="minorHAnsi" w:cs="TTE2228400t00"/>
          <w:lang w:eastAsia="en-AU"/>
        </w:rPr>
        <w:t>qualified</w:t>
      </w:r>
      <w:r w:rsidRPr="00CA0079">
        <w:rPr>
          <w:rFonts w:asciiTheme="minorHAnsi" w:hAnsiTheme="minorHAnsi" w:cs="TTE2228400t00"/>
          <w:lang w:eastAsia="en-AU"/>
        </w:rPr>
        <w:t xml:space="preserve"> Aboriginal Environmental Health </w:t>
      </w:r>
      <w:r>
        <w:rPr>
          <w:rFonts w:asciiTheme="minorHAnsi" w:hAnsiTheme="minorHAnsi" w:cs="TTE2228400t00"/>
          <w:lang w:eastAsia="en-AU"/>
        </w:rPr>
        <w:t>W</w:t>
      </w:r>
      <w:r w:rsidRPr="00CA0079">
        <w:rPr>
          <w:rFonts w:asciiTheme="minorHAnsi" w:hAnsiTheme="minorHAnsi" w:cs="TTE2228400t00"/>
          <w:lang w:eastAsia="en-AU"/>
        </w:rPr>
        <w:t xml:space="preserve">orkers to </w:t>
      </w:r>
      <w:r>
        <w:rPr>
          <w:rFonts w:asciiTheme="minorHAnsi" w:hAnsiTheme="minorHAnsi" w:cs="TTE2228400t00"/>
          <w:lang w:eastAsia="en-AU"/>
        </w:rPr>
        <w:t xml:space="preserve">undertake minor plumbing repairs (e.g. leaking taps) will immediately reduce </w:t>
      </w:r>
      <w:r w:rsidRPr="00F514B8">
        <w:rPr>
          <w:rFonts w:asciiTheme="minorHAnsi" w:hAnsiTheme="minorHAnsi" w:cs="TTE2228400t00"/>
          <w:lang w:eastAsia="en-AU"/>
        </w:rPr>
        <w:t xml:space="preserve">the presenting environmental health disease risk and potential disease burden. </w:t>
      </w:r>
    </w:p>
    <w:p w:rsidR="00407506" w:rsidRPr="00F514B8" w:rsidRDefault="00407506" w:rsidP="00F514B8">
      <w:pPr>
        <w:autoSpaceDE w:val="0"/>
        <w:autoSpaceDN w:val="0"/>
        <w:adjustRightInd w:val="0"/>
        <w:ind w:left="360"/>
        <w:rPr>
          <w:rFonts w:cs="TTE2228400t00"/>
          <w:lang w:eastAsia="en-AU"/>
        </w:rPr>
      </w:pPr>
    </w:p>
    <w:p w:rsidR="00F514B8" w:rsidRPr="00F514B8" w:rsidRDefault="00F514B8" w:rsidP="00F514B8">
      <w:pPr>
        <w:pStyle w:val="Default"/>
        <w:numPr>
          <w:ilvl w:val="0"/>
          <w:numId w:val="7"/>
        </w:numPr>
        <w:rPr>
          <w:rFonts w:asciiTheme="minorHAnsi" w:hAnsiTheme="minorHAnsi"/>
        </w:rPr>
      </w:pPr>
      <w:r w:rsidRPr="00F514B8">
        <w:rPr>
          <w:rFonts w:asciiTheme="minorHAnsi" w:hAnsiTheme="minorHAnsi" w:cs="TTE2228400t00"/>
          <w:b/>
          <w:lang w:eastAsia="en-AU"/>
        </w:rPr>
        <w:t xml:space="preserve">Pass the </w:t>
      </w:r>
      <w:r w:rsidR="00C67D89">
        <w:rPr>
          <w:rFonts w:asciiTheme="minorHAnsi" w:hAnsiTheme="minorHAnsi" w:cs="TTE2228400t00"/>
          <w:b/>
          <w:lang w:eastAsia="en-AU"/>
        </w:rPr>
        <w:t>new Public</w:t>
      </w:r>
      <w:r w:rsidR="00C67D89" w:rsidRPr="00F514B8">
        <w:rPr>
          <w:rFonts w:asciiTheme="minorHAnsi" w:hAnsiTheme="minorHAnsi" w:cs="TTE2228400t00"/>
          <w:b/>
          <w:lang w:eastAsia="en-AU"/>
        </w:rPr>
        <w:t xml:space="preserve"> </w:t>
      </w:r>
      <w:r w:rsidRPr="00F514B8">
        <w:rPr>
          <w:rFonts w:asciiTheme="minorHAnsi" w:hAnsiTheme="minorHAnsi" w:cs="TTE2228400t00"/>
          <w:b/>
          <w:lang w:eastAsia="en-AU"/>
        </w:rPr>
        <w:t xml:space="preserve">Health </w:t>
      </w:r>
      <w:r w:rsidR="00C67D89">
        <w:rPr>
          <w:rFonts w:asciiTheme="minorHAnsi" w:hAnsiTheme="minorHAnsi" w:cs="TTE2228400t00"/>
          <w:b/>
          <w:lang w:eastAsia="en-AU"/>
        </w:rPr>
        <w:t>Bill</w:t>
      </w:r>
      <w:r w:rsidR="00C67D89" w:rsidRPr="00F514B8">
        <w:rPr>
          <w:rFonts w:asciiTheme="minorHAnsi" w:hAnsiTheme="minorHAnsi" w:cs="TTE2228400t00"/>
          <w:b/>
          <w:lang w:eastAsia="en-AU"/>
        </w:rPr>
        <w:t xml:space="preserve"> </w:t>
      </w:r>
      <w:r w:rsidRPr="00F514B8">
        <w:rPr>
          <w:rFonts w:asciiTheme="minorHAnsi" w:hAnsiTheme="minorHAnsi" w:cs="TTE2228400t00"/>
          <w:b/>
          <w:lang w:eastAsia="en-AU"/>
        </w:rPr>
        <w:t>(WA)</w:t>
      </w:r>
      <w:r w:rsidRPr="00F514B8">
        <w:rPr>
          <w:rFonts w:asciiTheme="minorHAnsi" w:hAnsiTheme="minorHAnsi" w:cs="TTE2228400t00"/>
          <w:lang w:eastAsia="en-AU"/>
        </w:rPr>
        <w:t xml:space="preserve"> to ensure an equitable level of health protection </w:t>
      </w:r>
      <w:r w:rsidRPr="00F514B8">
        <w:rPr>
          <w:rFonts w:asciiTheme="minorHAnsi" w:hAnsiTheme="minorHAnsi"/>
        </w:rPr>
        <w:t xml:space="preserve">is available to Aboriginal communities. To effect this, it is essential that the provisions for binding the Crown are preserved and commenced. This would ensure there is a standard level of Authority available to protect basic health </w:t>
      </w:r>
      <w:r w:rsidR="00C67D89">
        <w:rPr>
          <w:rFonts w:asciiTheme="minorHAnsi" w:hAnsiTheme="minorHAnsi"/>
        </w:rPr>
        <w:t>standards</w:t>
      </w:r>
      <w:r w:rsidRPr="00F514B8">
        <w:rPr>
          <w:rFonts w:asciiTheme="minorHAnsi" w:hAnsiTheme="minorHAnsi"/>
        </w:rPr>
        <w:t xml:space="preserve">, </w:t>
      </w:r>
      <w:r w:rsidR="00C67D89">
        <w:rPr>
          <w:rFonts w:asciiTheme="minorHAnsi" w:hAnsiTheme="minorHAnsi"/>
        </w:rPr>
        <w:t>including</w:t>
      </w:r>
      <w:r w:rsidRPr="00F514B8">
        <w:rPr>
          <w:rFonts w:asciiTheme="minorHAnsi" w:hAnsiTheme="minorHAnsi"/>
        </w:rPr>
        <w:t xml:space="preserve"> housing standards, public buildings, food premises, waste water disposal, drinking water quality and waste disposal.  </w:t>
      </w:r>
    </w:p>
    <w:p w:rsidR="00407506" w:rsidRPr="00F514B8" w:rsidRDefault="00407506" w:rsidP="00407506">
      <w:pPr>
        <w:pStyle w:val="Default"/>
        <w:rPr>
          <w:rFonts w:asciiTheme="minorHAnsi" w:hAnsiTheme="minorHAnsi"/>
        </w:rPr>
      </w:pPr>
    </w:p>
    <w:p w:rsidR="00E209A8" w:rsidRDefault="00407506" w:rsidP="00E209A8">
      <w:pPr>
        <w:pStyle w:val="Default"/>
        <w:numPr>
          <w:ilvl w:val="0"/>
          <w:numId w:val="7"/>
        </w:numPr>
        <w:rPr>
          <w:rFonts w:asciiTheme="minorHAnsi" w:hAnsiTheme="minorHAnsi"/>
        </w:rPr>
      </w:pPr>
      <w:r w:rsidRPr="00F514B8">
        <w:rPr>
          <w:rFonts w:asciiTheme="minorHAnsi" w:hAnsiTheme="minorHAnsi"/>
          <w:b/>
        </w:rPr>
        <w:t>Provide realistic levels of funding for the provision</w:t>
      </w:r>
      <w:r w:rsidR="0026698A" w:rsidRPr="00F514B8">
        <w:rPr>
          <w:rFonts w:asciiTheme="minorHAnsi" w:hAnsiTheme="minorHAnsi"/>
          <w:b/>
        </w:rPr>
        <w:t xml:space="preserve"> of the appropriate level of environmental health and municipal services in remote communities</w:t>
      </w:r>
      <w:r w:rsidR="0026698A" w:rsidRPr="00F514B8">
        <w:rPr>
          <w:rFonts w:asciiTheme="minorHAnsi" w:hAnsiTheme="minorHAnsi"/>
        </w:rPr>
        <w:t xml:space="preserve">. </w:t>
      </w:r>
    </w:p>
    <w:p w:rsidR="00654EAE" w:rsidRPr="00F514B8" w:rsidRDefault="00654EAE" w:rsidP="00654EAE">
      <w:pPr>
        <w:pStyle w:val="ListParagraph"/>
        <w:rPr>
          <w:rFonts w:asciiTheme="minorHAnsi" w:hAnsiTheme="minorHAnsi"/>
        </w:rPr>
      </w:pPr>
      <w:r w:rsidRPr="00187AC9">
        <w:rPr>
          <w:rFonts w:asciiTheme="minorHAnsi" w:hAnsiTheme="minorHAnsi"/>
        </w:rPr>
        <w:t>A current example is the need for regular i.e. weekly testing of the drinking water supply in all communities, and access to funding for infrastructure upgrades when testing results indicate the need for improvements to meet safe drinking water standards.</w:t>
      </w:r>
    </w:p>
    <w:p w:rsidR="00407506" w:rsidRPr="00E209A8" w:rsidRDefault="00407506" w:rsidP="00E209A8">
      <w:pPr>
        <w:pStyle w:val="Default"/>
        <w:ind w:left="720"/>
        <w:rPr>
          <w:rFonts w:asciiTheme="minorHAnsi" w:hAnsiTheme="minorHAnsi"/>
          <w:highlight w:val="yellow"/>
        </w:rPr>
      </w:pPr>
    </w:p>
    <w:p w:rsidR="004D68FA" w:rsidRPr="004D68FA" w:rsidRDefault="0026698A" w:rsidP="004D68FA">
      <w:pPr>
        <w:pStyle w:val="Default"/>
        <w:numPr>
          <w:ilvl w:val="0"/>
          <w:numId w:val="7"/>
        </w:numPr>
        <w:rPr>
          <w:rFonts w:asciiTheme="minorHAnsi" w:hAnsiTheme="minorHAnsi"/>
        </w:rPr>
      </w:pPr>
      <w:r w:rsidRPr="00067197">
        <w:rPr>
          <w:rFonts w:asciiTheme="minorHAnsi" w:hAnsiTheme="minorHAnsi"/>
          <w:b/>
          <w:bCs/>
        </w:rPr>
        <w:t xml:space="preserve">Improve Food Security:  </w:t>
      </w:r>
      <w:r w:rsidRPr="00067197">
        <w:rPr>
          <w:rFonts w:asciiTheme="minorHAnsi" w:hAnsiTheme="minorHAnsi"/>
        </w:rPr>
        <w:t xml:space="preserve">Eating good food is an essential part of bearing healthy babies and the </w:t>
      </w:r>
      <w:r w:rsidR="00C67D89">
        <w:rPr>
          <w:rFonts w:asciiTheme="minorHAnsi" w:hAnsiTheme="minorHAnsi"/>
        </w:rPr>
        <w:t xml:space="preserve">prevention and control </w:t>
      </w:r>
      <w:r w:rsidRPr="00067197">
        <w:rPr>
          <w:rFonts w:asciiTheme="minorHAnsi" w:hAnsiTheme="minorHAnsi"/>
        </w:rPr>
        <w:t xml:space="preserve">of chronic diseases. Although access to </w:t>
      </w:r>
      <w:r w:rsidR="0019101D">
        <w:rPr>
          <w:rFonts w:asciiTheme="minorHAnsi" w:hAnsiTheme="minorHAnsi"/>
        </w:rPr>
        <w:t xml:space="preserve">affordable, healthy </w:t>
      </w:r>
      <w:r w:rsidRPr="00067197">
        <w:rPr>
          <w:rFonts w:asciiTheme="minorHAnsi" w:hAnsiTheme="minorHAnsi"/>
        </w:rPr>
        <w:t xml:space="preserve"> food </w:t>
      </w:r>
      <w:r w:rsidR="0019101D">
        <w:rPr>
          <w:rFonts w:asciiTheme="minorHAnsi" w:hAnsiTheme="minorHAnsi"/>
        </w:rPr>
        <w:t xml:space="preserve">to ensure </w:t>
      </w:r>
      <w:r w:rsidRPr="00067197">
        <w:rPr>
          <w:rFonts w:asciiTheme="minorHAnsi" w:hAnsiTheme="minorHAnsi"/>
        </w:rPr>
        <w:t>a nutritious diet is a basic human right, many Aboriginal people</w:t>
      </w:r>
      <w:r w:rsidR="004D68FA">
        <w:rPr>
          <w:rFonts w:asciiTheme="minorHAnsi" w:hAnsiTheme="minorHAnsi"/>
        </w:rPr>
        <w:t xml:space="preserve"> living</w:t>
      </w:r>
      <w:r w:rsidRPr="00067197">
        <w:rPr>
          <w:rFonts w:asciiTheme="minorHAnsi" w:hAnsiTheme="minorHAnsi"/>
        </w:rPr>
        <w:t xml:space="preserve"> in </w:t>
      </w:r>
      <w:r w:rsidR="004D68FA">
        <w:rPr>
          <w:rFonts w:asciiTheme="minorHAnsi" w:hAnsiTheme="minorHAnsi"/>
        </w:rPr>
        <w:t xml:space="preserve">remote </w:t>
      </w:r>
      <w:r w:rsidRPr="00067197">
        <w:rPr>
          <w:rFonts w:asciiTheme="minorHAnsi" w:hAnsiTheme="minorHAnsi"/>
        </w:rPr>
        <w:t>Kimberley</w:t>
      </w:r>
      <w:r w:rsidR="004D68FA">
        <w:rPr>
          <w:rFonts w:asciiTheme="minorHAnsi" w:hAnsiTheme="minorHAnsi"/>
        </w:rPr>
        <w:t xml:space="preserve"> communities</w:t>
      </w:r>
      <w:r w:rsidRPr="00067197">
        <w:rPr>
          <w:rFonts w:asciiTheme="minorHAnsi" w:hAnsiTheme="minorHAnsi"/>
        </w:rPr>
        <w:t xml:space="preserve"> do not have the same access to safe, healthy food as non-indigenous people. </w:t>
      </w:r>
      <w:r w:rsidR="004D68FA" w:rsidRPr="004D68FA">
        <w:rPr>
          <w:rFonts w:asciiTheme="minorHAnsi" w:hAnsiTheme="minorHAnsi"/>
        </w:rPr>
        <w:t>For example, a 2010 study</w:t>
      </w:r>
      <w:r w:rsidR="004D68FA">
        <w:rPr>
          <w:rStyle w:val="FootnoteReference"/>
          <w:rFonts w:asciiTheme="minorHAnsi" w:hAnsiTheme="minorHAnsi"/>
        </w:rPr>
        <w:footnoteReference w:id="9"/>
      </w:r>
      <w:r w:rsidR="004D68FA" w:rsidRPr="004D68FA">
        <w:rPr>
          <w:rFonts w:asciiTheme="minorHAnsi" w:hAnsiTheme="minorHAnsi"/>
        </w:rPr>
        <w:t xml:space="preserve"> reported:</w:t>
      </w:r>
    </w:p>
    <w:p w:rsidR="004D68FA" w:rsidRPr="004D68FA" w:rsidRDefault="004D68FA" w:rsidP="004D68FA">
      <w:pPr>
        <w:pStyle w:val="ListParagraph"/>
        <w:numPr>
          <w:ilvl w:val="1"/>
          <w:numId w:val="7"/>
        </w:numPr>
        <w:rPr>
          <w:rFonts w:asciiTheme="minorHAnsi" w:hAnsiTheme="minorHAnsi"/>
        </w:rPr>
      </w:pPr>
      <w:r w:rsidRPr="004D68FA">
        <w:rPr>
          <w:rFonts w:asciiTheme="minorHAnsi" w:hAnsiTheme="minorHAnsi"/>
        </w:rPr>
        <w:t>the</w:t>
      </w:r>
      <w:r>
        <w:rPr>
          <w:rFonts w:asciiTheme="minorHAnsi" w:hAnsiTheme="minorHAnsi"/>
        </w:rPr>
        <w:t xml:space="preserve"> </w:t>
      </w:r>
      <w:r w:rsidRPr="004D68FA">
        <w:rPr>
          <w:rFonts w:asciiTheme="minorHAnsi" w:hAnsiTheme="minorHAnsi"/>
        </w:rPr>
        <w:t>mean cost per fortnight for a healthy food basket in metro WA in August/September 2010 was $542.19 to $627.11. This was compared with the average basket cost of $709.04 in very remote areas i.e. 23.5% more expensive.</w:t>
      </w:r>
    </w:p>
    <w:p w:rsidR="004D68FA" w:rsidRPr="004D68FA" w:rsidRDefault="004D68FA" w:rsidP="004D68FA">
      <w:pPr>
        <w:pStyle w:val="ListParagraph"/>
        <w:numPr>
          <w:ilvl w:val="1"/>
          <w:numId w:val="7"/>
        </w:numPr>
        <w:rPr>
          <w:rFonts w:asciiTheme="minorHAnsi" w:hAnsiTheme="minorHAnsi"/>
        </w:rPr>
      </w:pPr>
      <w:r w:rsidRPr="004D68FA">
        <w:rPr>
          <w:rFonts w:asciiTheme="minorHAnsi" w:hAnsiTheme="minorHAnsi"/>
        </w:rPr>
        <w:t>the range and quality of foods that were available decreased with distance from Perth.</w:t>
      </w:r>
    </w:p>
    <w:p w:rsidR="00E209A8" w:rsidRPr="00EE33BE" w:rsidRDefault="00E209A8" w:rsidP="00E209A8">
      <w:pPr>
        <w:pStyle w:val="Default"/>
        <w:ind w:left="720"/>
        <w:rPr>
          <w:rFonts w:asciiTheme="minorHAnsi" w:hAnsiTheme="minorHAnsi"/>
          <w:color w:val="auto"/>
          <w:lang w:val="en-US"/>
        </w:rPr>
      </w:pPr>
      <w:r w:rsidRPr="00EE33BE">
        <w:rPr>
          <w:rFonts w:asciiTheme="minorHAnsi" w:hAnsiTheme="minorHAnsi"/>
          <w:color w:val="auto"/>
        </w:rPr>
        <w:t xml:space="preserve">The 2015 </w:t>
      </w:r>
      <w:r w:rsidR="00EE33BE">
        <w:rPr>
          <w:rFonts w:asciiTheme="minorHAnsi" w:hAnsiTheme="minorHAnsi"/>
          <w:color w:val="auto"/>
        </w:rPr>
        <w:t>Regional Price Index</w:t>
      </w:r>
      <w:r w:rsidRPr="00EE33BE">
        <w:rPr>
          <w:rStyle w:val="FootnoteReference"/>
          <w:rFonts w:asciiTheme="minorHAnsi" w:hAnsiTheme="minorHAnsi"/>
          <w:color w:val="auto"/>
        </w:rPr>
        <w:footnoteReference w:id="10"/>
      </w:r>
      <w:r w:rsidR="00EE33BE">
        <w:rPr>
          <w:rFonts w:asciiTheme="minorHAnsi" w:hAnsiTheme="minorHAnsi"/>
          <w:color w:val="auto"/>
        </w:rPr>
        <w:t xml:space="preserve"> </w:t>
      </w:r>
      <w:r w:rsidRPr="00EE33BE">
        <w:rPr>
          <w:rFonts w:asciiTheme="minorHAnsi" w:hAnsiTheme="minorHAnsi"/>
          <w:color w:val="auto"/>
        </w:rPr>
        <w:t xml:space="preserve">(an index of 500 goods and services) shows that </w:t>
      </w:r>
      <w:r w:rsidRPr="00EE33BE">
        <w:rPr>
          <w:rFonts w:asciiTheme="minorHAnsi" w:hAnsiTheme="minorHAnsi"/>
          <w:color w:val="auto"/>
          <w:lang w:val="en-US"/>
        </w:rPr>
        <w:t>the overall prices in the Kimberley have risen since 201</w:t>
      </w:r>
      <w:r w:rsidR="00EE33BE" w:rsidRPr="00EE33BE">
        <w:rPr>
          <w:rFonts w:asciiTheme="minorHAnsi" w:hAnsiTheme="minorHAnsi"/>
          <w:color w:val="auto"/>
          <w:lang w:val="en-US"/>
        </w:rPr>
        <w:t>4</w:t>
      </w:r>
      <w:r w:rsidRPr="00EE33BE">
        <w:rPr>
          <w:rFonts w:asciiTheme="minorHAnsi" w:hAnsiTheme="minorHAnsi"/>
          <w:color w:val="auto"/>
          <w:lang w:val="en-US"/>
        </w:rPr>
        <w:t xml:space="preserve"> by 0.7%</w:t>
      </w:r>
      <w:r w:rsidR="00EE33BE" w:rsidRPr="00EE33BE">
        <w:rPr>
          <w:rFonts w:asciiTheme="minorHAnsi" w:hAnsiTheme="minorHAnsi"/>
          <w:color w:val="auto"/>
          <w:lang w:val="en-US"/>
        </w:rPr>
        <w:t xml:space="preserve"> and that</w:t>
      </w:r>
      <w:r w:rsidR="00EE33BE">
        <w:rPr>
          <w:rFonts w:asciiTheme="minorHAnsi" w:hAnsiTheme="minorHAnsi"/>
          <w:color w:val="auto"/>
          <w:lang w:val="en-US"/>
        </w:rPr>
        <w:t>,</w:t>
      </w:r>
      <w:r w:rsidRPr="00EE33BE">
        <w:rPr>
          <w:rFonts w:asciiTheme="minorHAnsi" w:hAnsiTheme="minorHAnsi"/>
          <w:color w:val="auto"/>
          <w:lang w:val="en-US"/>
        </w:rPr>
        <w:t xml:space="preserve"> on average</w:t>
      </w:r>
      <w:r w:rsidR="00EE33BE">
        <w:rPr>
          <w:rFonts w:asciiTheme="minorHAnsi" w:hAnsiTheme="minorHAnsi"/>
          <w:color w:val="auto"/>
          <w:lang w:val="en-US"/>
        </w:rPr>
        <w:t>,</w:t>
      </w:r>
      <w:r w:rsidRPr="00EE33BE">
        <w:rPr>
          <w:rFonts w:asciiTheme="minorHAnsi" w:hAnsiTheme="minorHAnsi"/>
          <w:color w:val="auto"/>
          <w:lang w:val="en-US"/>
        </w:rPr>
        <w:t xml:space="preserve"> </w:t>
      </w:r>
      <w:r w:rsidR="00EE33BE">
        <w:rPr>
          <w:rFonts w:asciiTheme="minorHAnsi" w:hAnsiTheme="minorHAnsi"/>
          <w:color w:val="auto"/>
          <w:lang w:val="en-US"/>
        </w:rPr>
        <w:t xml:space="preserve">the </w:t>
      </w:r>
      <w:r w:rsidRPr="00EE33BE">
        <w:rPr>
          <w:rFonts w:asciiTheme="minorHAnsi" w:hAnsiTheme="minorHAnsi"/>
          <w:color w:val="auto"/>
          <w:lang w:val="en-US"/>
        </w:rPr>
        <w:t>Kimberley</w:t>
      </w:r>
      <w:r w:rsidR="00EE33BE">
        <w:rPr>
          <w:rFonts w:asciiTheme="minorHAnsi" w:hAnsiTheme="minorHAnsi"/>
          <w:color w:val="auto"/>
          <w:lang w:val="en-US"/>
        </w:rPr>
        <w:t xml:space="preserve"> </w:t>
      </w:r>
      <w:r w:rsidRPr="00EE33BE">
        <w:rPr>
          <w:rFonts w:asciiTheme="minorHAnsi" w:hAnsiTheme="minorHAnsi"/>
          <w:color w:val="auto"/>
          <w:lang w:val="en-US"/>
        </w:rPr>
        <w:t>as a whole is 15.4% more expensive than Perth</w:t>
      </w:r>
      <w:r w:rsidR="00EE33BE">
        <w:rPr>
          <w:rFonts w:asciiTheme="minorHAnsi" w:hAnsiTheme="minorHAnsi"/>
          <w:color w:val="auto"/>
          <w:lang w:val="en-US"/>
        </w:rPr>
        <w:t>,</w:t>
      </w:r>
      <w:r w:rsidR="00EE33BE" w:rsidRPr="00EE33BE">
        <w:rPr>
          <w:rFonts w:asciiTheme="minorHAnsi" w:hAnsiTheme="minorHAnsi"/>
          <w:color w:val="auto"/>
          <w:lang w:val="en-US"/>
        </w:rPr>
        <w:t xml:space="preserve"> with prices </w:t>
      </w:r>
      <w:r w:rsidR="00EE33BE">
        <w:rPr>
          <w:rFonts w:asciiTheme="minorHAnsi" w:hAnsiTheme="minorHAnsi"/>
          <w:color w:val="auto"/>
          <w:lang w:val="en-US"/>
        </w:rPr>
        <w:t>highest</w:t>
      </w:r>
      <w:r w:rsidR="00EE33BE" w:rsidRPr="00EE33BE">
        <w:rPr>
          <w:rFonts w:asciiTheme="minorHAnsi" w:hAnsiTheme="minorHAnsi"/>
          <w:color w:val="auto"/>
          <w:lang w:val="en-US"/>
        </w:rPr>
        <w:t xml:space="preserve"> in Derby and Halls Creek. </w:t>
      </w:r>
    </w:p>
    <w:p w:rsidR="00EE33BE" w:rsidRPr="007D2047" w:rsidRDefault="00EE33BE" w:rsidP="00E209A8">
      <w:pPr>
        <w:pStyle w:val="Default"/>
        <w:ind w:left="720"/>
        <w:rPr>
          <w:rFonts w:asciiTheme="minorHAnsi" w:hAnsiTheme="minorHAnsi"/>
          <w:sz w:val="20"/>
          <w:szCs w:val="20"/>
        </w:rPr>
      </w:pPr>
    </w:p>
    <w:p w:rsidR="004D68FA" w:rsidRDefault="00EE33BE" w:rsidP="004D68FA">
      <w:pPr>
        <w:pStyle w:val="Default"/>
        <w:ind w:left="720"/>
        <w:rPr>
          <w:rFonts w:asciiTheme="minorHAnsi" w:hAnsiTheme="minorHAnsi"/>
        </w:rPr>
      </w:pPr>
      <w:r>
        <w:rPr>
          <w:rFonts w:asciiTheme="minorHAnsi" w:hAnsiTheme="minorHAnsi"/>
        </w:rPr>
        <w:t>For people in remote communities f</w:t>
      </w:r>
      <w:r w:rsidR="004D68FA">
        <w:rPr>
          <w:rFonts w:asciiTheme="minorHAnsi" w:hAnsiTheme="minorHAnsi"/>
        </w:rPr>
        <w:t>ood security</w:t>
      </w:r>
      <w:r w:rsidR="0026698A" w:rsidRPr="00067197">
        <w:rPr>
          <w:rFonts w:asciiTheme="minorHAnsi" w:hAnsiTheme="minorHAnsi"/>
        </w:rPr>
        <w:t xml:space="preserve"> </w:t>
      </w:r>
      <w:r w:rsidR="004D68FA">
        <w:rPr>
          <w:rFonts w:asciiTheme="minorHAnsi" w:hAnsiTheme="minorHAnsi"/>
        </w:rPr>
        <w:t>i</w:t>
      </w:r>
      <w:r w:rsidR="004D68FA" w:rsidRPr="00067197">
        <w:rPr>
          <w:rFonts w:asciiTheme="minorHAnsi" w:hAnsiTheme="minorHAnsi"/>
        </w:rPr>
        <w:t xml:space="preserve">ssues relate to the cost and quality of food, especially perishable food for sale in community stores, transport of the food to the community, health hardware in homes to </w:t>
      </w:r>
      <w:r w:rsidR="00C67D89">
        <w:rPr>
          <w:rFonts w:asciiTheme="minorHAnsi" w:hAnsiTheme="minorHAnsi"/>
        </w:rPr>
        <w:t xml:space="preserve">prepare and </w:t>
      </w:r>
      <w:r w:rsidR="004D68FA" w:rsidRPr="00067197">
        <w:rPr>
          <w:rFonts w:asciiTheme="minorHAnsi" w:hAnsiTheme="minorHAnsi"/>
        </w:rPr>
        <w:t>store food purchased, and income to purchase food.</w:t>
      </w:r>
      <w:r w:rsidR="004D68FA">
        <w:rPr>
          <w:rFonts w:asciiTheme="minorHAnsi" w:hAnsiTheme="minorHAnsi"/>
        </w:rPr>
        <w:t xml:space="preserve">  </w:t>
      </w:r>
      <w:r w:rsidR="0026698A" w:rsidRPr="00067197">
        <w:rPr>
          <w:rFonts w:asciiTheme="minorHAnsi" w:hAnsiTheme="minorHAnsi"/>
        </w:rPr>
        <w:t xml:space="preserve">Recent experience by KAHPF members (EON and UFPA) </w:t>
      </w:r>
      <w:r w:rsidR="004D68FA">
        <w:rPr>
          <w:rFonts w:asciiTheme="minorHAnsi" w:hAnsiTheme="minorHAnsi"/>
        </w:rPr>
        <w:t xml:space="preserve">also </w:t>
      </w:r>
      <w:r w:rsidR="0026698A" w:rsidRPr="00067197">
        <w:rPr>
          <w:rFonts w:asciiTheme="minorHAnsi" w:hAnsiTheme="minorHAnsi"/>
        </w:rPr>
        <w:t xml:space="preserve">suggest it is </w:t>
      </w:r>
      <w:r w:rsidR="0026698A" w:rsidRPr="00067197">
        <w:rPr>
          <w:rFonts w:asciiTheme="minorHAnsi" w:hAnsiTheme="minorHAnsi"/>
        </w:rPr>
        <w:lastRenderedPageBreak/>
        <w:t>difficult to effect sustainable change through community stores, or to influence customers to choose healthy food options even if the food is cheap without cooking and nutrition education which is linked to health messages.</w:t>
      </w:r>
      <w:r w:rsidR="00302936">
        <w:rPr>
          <w:rFonts w:asciiTheme="minorHAnsi" w:hAnsiTheme="minorHAnsi"/>
        </w:rPr>
        <w:t xml:space="preserve">   </w:t>
      </w:r>
    </w:p>
    <w:p w:rsidR="004D68FA" w:rsidRDefault="004D68FA" w:rsidP="004D68FA">
      <w:pPr>
        <w:pStyle w:val="Default"/>
        <w:ind w:left="720"/>
        <w:rPr>
          <w:rFonts w:asciiTheme="minorHAnsi" w:hAnsiTheme="minorHAnsi"/>
        </w:rPr>
      </w:pPr>
    </w:p>
    <w:p w:rsidR="00302936" w:rsidRDefault="00302936" w:rsidP="004D68FA">
      <w:pPr>
        <w:pStyle w:val="Default"/>
        <w:ind w:left="720"/>
        <w:rPr>
          <w:rFonts w:asciiTheme="minorHAnsi" w:hAnsiTheme="minorHAnsi"/>
        </w:rPr>
      </w:pPr>
      <w:r>
        <w:rPr>
          <w:rFonts w:asciiTheme="minorHAnsi" w:hAnsiTheme="minorHAnsi"/>
        </w:rPr>
        <w:t>What is needed</w:t>
      </w:r>
      <w:r w:rsidR="004D68FA">
        <w:rPr>
          <w:rFonts w:asciiTheme="minorHAnsi" w:hAnsiTheme="minorHAnsi"/>
        </w:rPr>
        <w:t xml:space="preserve"> therefore</w:t>
      </w:r>
      <w:r>
        <w:rPr>
          <w:rFonts w:asciiTheme="minorHAnsi" w:hAnsiTheme="minorHAnsi"/>
        </w:rPr>
        <w:t xml:space="preserve"> includes:</w:t>
      </w:r>
    </w:p>
    <w:p w:rsidR="0026698A" w:rsidRDefault="0026698A" w:rsidP="00302936">
      <w:pPr>
        <w:pStyle w:val="Default"/>
        <w:numPr>
          <w:ilvl w:val="1"/>
          <w:numId w:val="7"/>
        </w:numPr>
        <w:rPr>
          <w:rFonts w:asciiTheme="minorHAnsi" w:hAnsiTheme="minorHAnsi"/>
        </w:rPr>
      </w:pPr>
      <w:r w:rsidRPr="00F50494">
        <w:rPr>
          <w:rFonts w:asciiTheme="minorHAnsi" w:hAnsiTheme="minorHAnsi"/>
        </w:rPr>
        <w:t>Investigation and implementation of mechanisms to subsidise healthy food in community stores</w:t>
      </w:r>
      <w:r w:rsidR="004D68FA">
        <w:rPr>
          <w:rFonts w:asciiTheme="minorHAnsi" w:hAnsiTheme="minorHAnsi"/>
        </w:rPr>
        <w:t>,</w:t>
      </w:r>
      <w:r w:rsidRPr="00F50494">
        <w:rPr>
          <w:rFonts w:asciiTheme="minorHAnsi" w:hAnsiTheme="minorHAnsi"/>
        </w:rPr>
        <w:t xml:space="preserve"> including ways to reduce freight costs and subsidise the cost of food storage</w:t>
      </w:r>
      <w:r w:rsidR="00F50494">
        <w:rPr>
          <w:rFonts w:asciiTheme="minorHAnsi" w:hAnsiTheme="minorHAnsi"/>
        </w:rPr>
        <w:t xml:space="preserve"> are urgently required.</w:t>
      </w:r>
      <w:r w:rsidRPr="00F50494">
        <w:rPr>
          <w:rFonts w:asciiTheme="minorHAnsi" w:hAnsiTheme="minorHAnsi"/>
        </w:rPr>
        <w:t xml:space="preserve"> </w:t>
      </w:r>
    </w:p>
    <w:p w:rsidR="00302936" w:rsidRPr="00302936" w:rsidRDefault="00302936" w:rsidP="00302936">
      <w:pPr>
        <w:pStyle w:val="ListParagraph"/>
        <w:numPr>
          <w:ilvl w:val="1"/>
          <w:numId w:val="7"/>
        </w:numPr>
        <w:contextualSpacing/>
        <w:rPr>
          <w:rFonts w:asciiTheme="minorHAnsi" w:hAnsiTheme="minorHAnsi"/>
        </w:rPr>
      </w:pPr>
      <w:r>
        <w:rPr>
          <w:rFonts w:asciiTheme="minorHAnsi" w:hAnsiTheme="minorHAnsi"/>
        </w:rPr>
        <w:t>C</w:t>
      </w:r>
      <w:r w:rsidRPr="00302936">
        <w:rPr>
          <w:rFonts w:asciiTheme="minorHAnsi" w:hAnsiTheme="minorHAnsi"/>
        </w:rPr>
        <w:t>apacity building for store managers re looking after fresh food/store layout to promote healthy food choices</w:t>
      </w:r>
    </w:p>
    <w:p w:rsidR="00302936" w:rsidRDefault="00302936" w:rsidP="00302936">
      <w:pPr>
        <w:pStyle w:val="ListParagraph"/>
        <w:numPr>
          <w:ilvl w:val="1"/>
          <w:numId w:val="7"/>
        </w:numPr>
        <w:contextualSpacing/>
        <w:rPr>
          <w:rFonts w:asciiTheme="minorHAnsi" w:hAnsiTheme="minorHAnsi"/>
        </w:rPr>
      </w:pPr>
      <w:r>
        <w:rPr>
          <w:rFonts w:asciiTheme="minorHAnsi" w:hAnsiTheme="minorHAnsi"/>
        </w:rPr>
        <w:t>C</w:t>
      </w:r>
      <w:r w:rsidRPr="00302936">
        <w:rPr>
          <w:rFonts w:asciiTheme="minorHAnsi" w:hAnsiTheme="minorHAnsi"/>
        </w:rPr>
        <w:t>old chain management training for transport workers</w:t>
      </w:r>
      <w:r>
        <w:rPr>
          <w:rFonts w:asciiTheme="minorHAnsi" w:hAnsiTheme="minorHAnsi"/>
        </w:rPr>
        <w:t>.</w:t>
      </w:r>
    </w:p>
    <w:p w:rsidR="00C67D89" w:rsidRPr="00302936" w:rsidRDefault="00C67D89" w:rsidP="00302936">
      <w:pPr>
        <w:pStyle w:val="ListParagraph"/>
        <w:numPr>
          <w:ilvl w:val="1"/>
          <w:numId w:val="7"/>
        </w:numPr>
        <w:contextualSpacing/>
        <w:rPr>
          <w:rFonts w:asciiTheme="minorHAnsi" w:hAnsiTheme="minorHAnsi"/>
        </w:rPr>
      </w:pPr>
      <w:r>
        <w:rPr>
          <w:rFonts w:asciiTheme="minorHAnsi" w:hAnsiTheme="minorHAnsi"/>
        </w:rPr>
        <w:t>Price gradients to facilitate healthy choice (for example, bottled water vs soft drink and short shelf life healthy foods vs highly processed, energy dense long shelf-life foods)</w:t>
      </w:r>
    </w:p>
    <w:p w:rsidR="00067197" w:rsidRDefault="00067197" w:rsidP="00067197">
      <w:pPr>
        <w:pStyle w:val="Default"/>
        <w:rPr>
          <w:rFonts w:asciiTheme="minorHAnsi" w:hAnsiTheme="minorHAnsi"/>
        </w:rPr>
      </w:pPr>
    </w:p>
    <w:p w:rsidR="007D2047" w:rsidRPr="007D2047" w:rsidRDefault="007D2047" w:rsidP="007D2047">
      <w:pPr>
        <w:pStyle w:val="Default"/>
        <w:numPr>
          <w:ilvl w:val="0"/>
          <w:numId w:val="7"/>
        </w:numPr>
        <w:rPr>
          <w:rFonts w:asciiTheme="minorHAnsi" w:hAnsiTheme="minorHAnsi"/>
          <w:b/>
        </w:rPr>
      </w:pPr>
      <w:r>
        <w:rPr>
          <w:rFonts w:asciiTheme="minorHAnsi" w:hAnsiTheme="minorHAnsi"/>
          <w:b/>
        </w:rPr>
        <w:t>Address inequit</w:t>
      </w:r>
      <w:r w:rsidR="00D50306">
        <w:rPr>
          <w:rFonts w:asciiTheme="minorHAnsi" w:hAnsiTheme="minorHAnsi"/>
          <w:b/>
        </w:rPr>
        <w:t>y</w:t>
      </w:r>
      <w:r>
        <w:rPr>
          <w:rFonts w:asciiTheme="minorHAnsi" w:hAnsiTheme="minorHAnsi"/>
          <w:b/>
        </w:rPr>
        <w:t xml:space="preserve"> in</w:t>
      </w:r>
      <w:r w:rsidR="00D50306">
        <w:rPr>
          <w:rFonts w:asciiTheme="minorHAnsi" w:hAnsiTheme="minorHAnsi"/>
          <w:b/>
        </w:rPr>
        <w:t xml:space="preserve"> access to</w:t>
      </w:r>
      <w:r>
        <w:rPr>
          <w:rFonts w:asciiTheme="minorHAnsi" w:hAnsiTheme="minorHAnsi"/>
          <w:b/>
        </w:rPr>
        <w:t xml:space="preserve"> health service</w:t>
      </w:r>
      <w:r w:rsidR="00D50306">
        <w:rPr>
          <w:rFonts w:asciiTheme="minorHAnsi" w:hAnsiTheme="minorHAnsi"/>
          <w:b/>
        </w:rPr>
        <w:t>s</w:t>
      </w:r>
      <w:r>
        <w:rPr>
          <w:rFonts w:asciiTheme="minorHAnsi" w:hAnsiTheme="minorHAnsi"/>
          <w:b/>
        </w:rPr>
        <w:t>.</w:t>
      </w:r>
    </w:p>
    <w:p w:rsidR="007D2047" w:rsidRPr="007D2047" w:rsidRDefault="007D2047" w:rsidP="007D2047">
      <w:pPr>
        <w:autoSpaceDE w:val="0"/>
        <w:autoSpaceDN w:val="0"/>
        <w:adjustRightInd w:val="0"/>
        <w:ind w:left="720"/>
        <w:jc w:val="left"/>
        <w:rPr>
          <w:rFonts w:eastAsia="Times New Roman" w:cs="Times New Roman"/>
          <w:color w:val="000000"/>
          <w:sz w:val="24"/>
          <w:szCs w:val="24"/>
          <w:lang w:val="en-AU" w:eastAsia="en-AU"/>
        </w:rPr>
      </w:pPr>
      <w:r w:rsidRPr="007D2047">
        <w:rPr>
          <w:rFonts w:eastAsia="Times New Roman" w:cs="Times New Roman"/>
          <w:color w:val="000000"/>
          <w:sz w:val="24"/>
          <w:szCs w:val="24"/>
          <w:lang w:val="en-AU" w:eastAsia="en-AU"/>
        </w:rPr>
        <w:t>The Kimberley Aboriginal Health Plan</w:t>
      </w:r>
      <w:r>
        <w:rPr>
          <w:rStyle w:val="FootnoteReference"/>
          <w:rFonts w:eastAsia="Times New Roman" w:cs="Times New Roman"/>
          <w:color w:val="000000"/>
          <w:sz w:val="24"/>
          <w:szCs w:val="24"/>
          <w:lang w:val="en-AU" w:eastAsia="en-AU"/>
        </w:rPr>
        <w:footnoteReference w:id="11"/>
      </w:r>
      <w:r w:rsidRPr="007D2047">
        <w:rPr>
          <w:rFonts w:eastAsia="Times New Roman" w:cs="Times New Roman"/>
          <w:color w:val="000000"/>
          <w:sz w:val="24"/>
          <w:szCs w:val="24"/>
          <w:lang w:val="en-AU" w:eastAsia="en-AU"/>
        </w:rPr>
        <w:t xml:space="preserve"> identifies</w:t>
      </w:r>
      <w:r w:rsidR="00407506">
        <w:rPr>
          <w:rFonts w:eastAsia="Times New Roman" w:cs="Times New Roman"/>
          <w:color w:val="000000"/>
          <w:sz w:val="24"/>
          <w:szCs w:val="24"/>
          <w:lang w:val="en-AU" w:eastAsia="en-AU"/>
        </w:rPr>
        <w:t>,</w:t>
      </w:r>
      <w:r w:rsidRPr="007D2047">
        <w:rPr>
          <w:rFonts w:eastAsia="Times New Roman" w:cs="Times New Roman"/>
          <w:color w:val="000000"/>
          <w:sz w:val="24"/>
          <w:szCs w:val="24"/>
          <w:lang w:val="en-AU" w:eastAsia="en-AU"/>
        </w:rPr>
        <w:t xml:space="preserve"> </w:t>
      </w:r>
      <w:r w:rsidRPr="007D2047">
        <w:rPr>
          <w:rFonts w:eastAsia="Times New Roman" w:cs="Times New Roman"/>
          <w:iCs/>
          <w:color w:val="000000"/>
          <w:sz w:val="24"/>
          <w:szCs w:val="24"/>
          <w:lang w:val="en-AU" w:eastAsia="en-AU"/>
        </w:rPr>
        <w:t>as a basic principle</w:t>
      </w:r>
      <w:r w:rsidR="00407506">
        <w:rPr>
          <w:rFonts w:eastAsia="Times New Roman" w:cs="Times New Roman"/>
          <w:iCs/>
          <w:color w:val="000000"/>
          <w:sz w:val="24"/>
          <w:szCs w:val="24"/>
          <w:lang w:val="en-AU" w:eastAsia="en-AU"/>
        </w:rPr>
        <w:t>,</w:t>
      </w:r>
      <w:r w:rsidRPr="007D2047">
        <w:rPr>
          <w:rFonts w:eastAsia="Times New Roman" w:cs="Times New Roman"/>
          <w:color w:val="000000"/>
          <w:sz w:val="24"/>
          <w:szCs w:val="24"/>
          <w:lang w:val="en-AU" w:eastAsia="en-AU"/>
        </w:rPr>
        <w:t xml:space="preserve"> that remote communities </w:t>
      </w:r>
      <w:r w:rsidRPr="007D2047">
        <w:rPr>
          <w:rFonts w:eastAsia="Times New Roman" w:cs="Times New Roman"/>
          <w:iCs/>
          <w:color w:val="000000"/>
          <w:sz w:val="24"/>
          <w:szCs w:val="24"/>
          <w:lang w:val="en-AU" w:eastAsia="en-AU"/>
        </w:rPr>
        <w:t>of a similar size and distance from town-based services should have equivalent levels of service, regardless of who thei</w:t>
      </w:r>
      <w:r>
        <w:rPr>
          <w:rFonts w:eastAsia="Times New Roman" w:cs="Times New Roman"/>
          <w:iCs/>
          <w:color w:val="000000"/>
          <w:sz w:val="24"/>
          <w:szCs w:val="24"/>
          <w:lang w:val="en-AU" w:eastAsia="en-AU"/>
        </w:rPr>
        <w:t xml:space="preserve">r preferred service provider is.  </w:t>
      </w:r>
      <w:r w:rsidRPr="007D2047">
        <w:rPr>
          <w:rFonts w:eastAsia="Times New Roman" w:cs="Times New Roman"/>
          <w:color w:val="000000"/>
          <w:sz w:val="24"/>
          <w:szCs w:val="24"/>
          <w:lang w:val="en-AU" w:eastAsia="en-AU"/>
        </w:rPr>
        <w:t>Further</w:t>
      </w:r>
      <w:r>
        <w:rPr>
          <w:rFonts w:eastAsia="Times New Roman" w:cs="Times New Roman"/>
          <w:color w:val="000000"/>
          <w:sz w:val="24"/>
          <w:szCs w:val="24"/>
          <w:lang w:val="en-AU" w:eastAsia="en-AU"/>
        </w:rPr>
        <w:t>,</w:t>
      </w:r>
      <w:r w:rsidRPr="007D2047">
        <w:rPr>
          <w:rFonts w:eastAsia="Times New Roman" w:cs="Times New Roman"/>
          <w:color w:val="000000"/>
          <w:sz w:val="24"/>
          <w:szCs w:val="24"/>
          <w:lang w:val="en-AU" w:eastAsia="en-AU"/>
        </w:rPr>
        <w:t xml:space="preserve"> the Plan identifies that</w:t>
      </w:r>
      <w:r w:rsidRPr="007D2047">
        <w:rPr>
          <w:rFonts w:eastAsia="Times New Roman" w:cs="Times New Roman"/>
          <w:iCs/>
          <w:color w:val="000000"/>
          <w:sz w:val="24"/>
          <w:szCs w:val="24"/>
          <w:lang w:val="en-AU" w:eastAsia="en-AU"/>
        </w:rPr>
        <w:t xml:space="preserve"> ‘at a minimum’:  </w:t>
      </w:r>
    </w:p>
    <w:p w:rsidR="007D2047" w:rsidRPr="007D2047" w:rsidRDefault="007D2047" w:rsidP="007D2047">
      <w:pPr>
        <w:autoSpaceDE w:val="0"/>
        <w:autoSpaceDN w:val="0"/>
        <w:adjustRightInd w:val="0"/>
        <w:ind w:left="540"/>
        <w:rPr>
          <w:rFonts w:eastAsia="Times New Roman" w:cs="Times New Roman"/>
          <w:color w:val="000000"/>
          <w:sz w:val="20"/>
          <w:szCs w:val="20"/>
          <w:lang w:val="en-AU" w:eastAsia="en-AU"/>
        </w:rPr>
      </w:pPr>
    </w:p>
    <w:p w:rsidR="007D2047" w:rsidRPr="007D2047" w:rsidRDefault="007D2047" w:rsidP="007D2047">
      <w:pPr>
        <w:numPr>
          <w:ilvl w:val="0"/>
          <w:numId w:val="20"/>
        </w:numPr>
        <w:tabs>
          <w:tab w:val="clear" w:pos="900"/>
          <w:tab w:val="num" w:pos="1080"/>
        </w:tabs>
        <w:autoSpaceDE w:val="0"/>
        <w:autoSpaceDN w:val="0"/>
        <w:adjustRightInd w:val="0"/>
        <w:ind w:left="1440"/>
        <w:jc w:val="left"/>
        <w:rPr>
          <w:rFonts w:eastAsia="Times New Roman" w:cs="Times New Roman"/>
          <w:iCs/>
          <w:color w:val="323E4F" w:themeColor="text2" w:themeShade="BF"/>
          <w:lang w:val="en-AU" w:eastAsia="en-AU"/>
        </w:rPr>
      </w:pPr>
      <w:r w:rsidRPr="007D2047">
        <w:rPr>
          <w:rFonts w:eastAsia="Times New Roman" w:cs="Times New Roman"/>
          <w:iCs/>
          <w:color w:val="323E4F" w:themeColor="text2" w:themeShade="BF"/>
          <w:lang w:val="en-AU" w:eastAsia="en-AU"/>
        </w:rPr>
        <w:t xml:space="preserve">Communities with regular populations of over 250 should have an onsite health service with an on call capacity. </w:t>
      </w:r>
    </w:p>
    <w:p w:rsidR="007D2047" w:rsidRPr="007D2047" w:rsidRDefault="007D2047" w:rsidP="007D2047">
      <w:pPr>
        <w:numPr>
          <w:ilvl w:val="0"/>
          <w:numId w:val="20"/>
        </w:numPr>
        <w:tabs>
          <w:tab w:val="clear" w:pos="900"/>
          <w:tab w:val="num" w:pos="1080"/>
        </w:tabs>
        <w:autoSpaceDE w:val="0"/>
        <w:autoSpaceDN w:val="0"/>
        <w:adjustRightInd w:val="0"/>
        <w:ind w:left="1440"/>
        <w:jc w:val="left"/>
        <w:rPr>
          <w:rFonts w:eastAsia="Times New Roman" w:cs="Times New Roman"/>
          <w:iCs/>
          <w:color w:val="323E4F" w:themeColor="text2" w:themeShade="BF"/>
          <w:lang w:val="en-AU" w:eastAsia="en-AU"/>
        </w:rPr>
      </w:pPr>
      <w:r w:rsidRPr="007D2047">
        <w:rPr>
          <w:rFonts w:eastAsia="Times New Roman" w:cs="Times New Roman"/>
          <w:iCs/>
          <w:color w:val="323E4F" w:themeColor="text2" w:themeShade="BF"/>
          <w:lang w:val="en-AU" w:eastAsia="en-AU"/>
        </w:rPr>
        <w:t>Communities with a regular population of between 100 and 250 should have an onsite health clinic staffed by 2 health professionals, either Senior Aboriginal Health Workers (SAHW) or Registered Nurses (RN).</w:t>
      </w:r>
    </w:p>
    <w:p w:rsidR="007D2047" w:rsidRPr="007D2047" w:rsidRDefault="007D2047" w:rsidP="007D2047">
      <w:pPr>
        <w:numPr>
          <w:ilvl w:val="0"/>
          <w:numId w:val="20"/>
        </w:numPr>
        <w:tabs>
          <w:tab w:val="clear" w:pos="900"/>
          <w:tab w:val="num" w:pos="1080"/>
        </w:tabs>
        <w:autoSpaceDE w:val="0"/>
        <w:autoSpaceDN w:val="0"/>
        <w:adjustRightInd w:val="0"/>
        <w:ind w:left="1440"/>
        <w:jc w:val="left"/>
        <w:rPr>
          <w:rFonts w:eastAsia="Times New Roman" w:cs="Times New Roman"/>
          <w:iCs/>
          <w:color w:val="323E4F" w:themeColor="text2" w:themeShade="BF"/>
          <w:lang w:val="en-AU" w:eastAsia="en-AU"/>
        </w:rPr>
      </w:pPr>
      <w:r w:rsidRPr="007D2047">
        <w:rPr>
          <w:rFonts w:eastAsia="Times New Roman" w:cs="Times New Roman"/>
          <w:iCs/>
          <w:color w:val="323E4F" w:themeColor="text2" w:themeShade="BF"/>
          <w:lang w:val="en-AU" w:eastAsia="en-AU"/>
        </w:rPr>
        <w:t>Communities with a regular population of 50-100, which are not within easy access of a community or town clinic should have a fortnightly visit by a health team.</w:t>
      </w:r>
    </w:p>
    <w:p w:rsidR="007D2047" w:rsidRPr="00407506" w:rsidRDefault="007D2047" w:rsidP="007D2047">
      <w:pPr>
        <w:numPr>
          <w:ilvl w:val="0"/>
          <w:numId w:val="20"/>
        </w:numPr>
        <w:tabs>
          <w:tab w:val="clear" w:pos="900"/>
          <w:tab w:val="num" w:pos="1080"/>
        </w:tabs>
        <w:autoSpaceDE w:val="0"/>
        <w:autoSpaceDN w:val="0"/>
        <w:adjustRightInd w:val="0"/>
        <w:ind w:left="1440"/>
        <w:jc w:val="left"/>
        <w:rPr>
          <w:rFonts w:cs="Times New Roman"/>
          <w:iCs/>
          <w:color w:val="323E4F" w:themeColor="text2" w:themeShade="BF"/>
          <w:lang w:val="en-AU" w:eastAsia="en-AU"/>
        </w:rPr>
      </w:pPr>
      <w:r w:rsidRPr="007D2047">
        <w:rPr>
          <w:rFonts w:eastAsia="Times New Roman" w:cs="Times New Roman"/>
          <w:iCs/>
          <w:color w:val="323E4F" w:themeColor="text2" w:themeShade="BF"/>
          <w:lang w:val="en-AU" w:eastAsia="en-AU"/>
        </w:rPr>
        <w:t>Communities with regular populations of less than 50 should be serviced on an as-needed basis</w:t>
      </w:r>
    </w:p>
    <w:p w:rsidR="00407506" w:rsidRDefault="00407506" w:rsidP="00407506">
      <w:pPr>
        <w:autoSpaceDE w:val="0"/>
        <w:autoSpaceDN w:val="0"/>
        <w:adjustRightInd w:val="0"/>
        <w:ind w:left="720"/>
        <w:jc w:val="left"/>
        <w:rPr>
          <w:rFonts w:eastAsia="Times New Roman" w:cs="Times New Roman"/>
          <w:iCs/>
          <w:sz w:val="24"/>
          <w:szCs w:val="24"/>
          <w:lang w:val="en-AU" w:eastAsia="en-AU"/>
        </w:rPr>
      </w:pPr>
    </w:p>
    <w:p w:rsidR="00407506" w:rsidRPr="00407506" w:rsidRDefault="00407506" w:rsidP="00407506">
      <w:pPr>
        <w:autoSpaceDE w:val="0"/>
        <w:autoSpaceDN w:val="0"/>
        <w:adjustRightInd w:val="0"/>
        <w:ind w:left="720"/>
        <w:jc w:val="left"/>
        <w:rPr>
          <w:rFonts w:cs="Times New Roman"/>
          <w:iCs/>
          <w:sz w:val="24"/>
          <w:szCs w:val="24"/>
          <w:lang w:val="en-AU" w:eastAsia="en-AU"/>
        </w:rPr>
      </w:pPr>
      <w:r w:rsidRPr="00407506">
        <w:rPr>
          <w:rFonts w:eastAsia="Times New Roman" w:cs="Times New Roman"/>
          <w:iCs/>
          <w:sz w:val="24"/>
          <w:szCs w:val="24"/>
          <w:lang w:val="en-AU" w:eastAsia="en-AU"/>
        </w:rPr>
        <w:t xml:space="preserve">These ratios are in line with national standards for remote service delivery.   </w:t>
      </w:r>
    </w:p>
    <w:p w:rsidR="007D2047" w:rsidRPr="007D2047" w:rsidRDefault="007D2047" w:rsidP="007D2047">
      <w:pPr>
        <w:rPr>
          <w:sz w:val="20"/>
          <w:szCs w:val="20"/>
        </w:rPr>
      </w:pPr>
    </w:p>
    <w:p w:rsidR="00067197" w:rsidRDefault="007D2047" w:rsidP="007C2180">
      <w:pPr>
        <w:pStyle w:val="Default"/>
        <w:ind w:left="720"/>
        <w:rPr>
          <w:rFonts w:asciiTheme="minorHAnsi" w:hAnsiTheme="minorHAnsi"/>
          <w:b/>
        </w:rPr>
      </w:pPr>
      <w:r w:rsidRPr="007D2047">
        <w:rPr>
          <w:rFonts w:asciiTheme="minorHAnsi" w:hAnsiTheme="minorHAnsi"/>
          <w:lang w:eastAsia="en-AU"/>
        </w:rPr>
        <w:t>Of 17 communities that had a confirmed, probable or possible case of APSGN from September 2013 to November 2014, 14 communities had primary health care service arrangements that met the minimum KAHPF criteria relevant to their size while 3 communities did not</w:t>
      </w:r>
      <w:r w:rsidR="007C2180">
        <w:rPr>
          <w:rStyle w:val="FootnoteReference"/>
          <w:rFonts w:asciiTheme="minorHAnsi" w:hAnsiTheme="minorHAnsi"/>
          <w:lang w:eastAsia="en-AU"/>
        </w:rPr>
        <w:footnoteReference w:id="12"/>
      </w:r>
      <w:r w:rsidRPr="007D2047">
        <w:rPr>
          <w:rFonts w:asciiTheme="minorHAnsi" w:hAnsiTheme="minorHAnsi"/>
          <w:lang w:eastAsia="en-AU"/>
        </w:rPr>
        <w:t>.</w:t>
      </w:r>
      <w:r>
        <w:rPr>
          <w:rFonts w:asciiTheme="minorHAnsi" w:hAnsiTheme="minorHAnsi"/>
          <w:lang w:eastAsia="en-AU"/>
        </w:rPr>
        <w:t xml:space="preserve">  </w:t>
      </w:r>
      <w:r w:rsidR="00C67D89">
        <w:rPr>
          <w:rFonts w:asciiTheme="minorHAnsi" w:hAnsiTheme="minorHAnsi"/>
          <w:lang w:eastAsia="en-AU"/>
        </w:rPr>
        <w:t xml:space="preserve">Of </w:t>
      </w:r>
      <w:r>
        <w:rPr>
          <w:rFonts w:asciiTheme="minorHAnsi" w:hAnsiTheme="minorHAnsi"/>
          <w:lang w:eastAsia="en-AU"/>
        </w:rPr>
        <w:t>these communities</w:t>
      </w:r>
      <w:r w:rsidR="00187AC9">
        <w:rPr>
          <w:rFonts w:asciiTheme="minorHAnsi" w:hAnsiTheme="minorHAnsi"/>
          <w:lang w:eastAsia="en-AU"/>
        </w:rPr>
        <w:t>,</w:t>
      </w:r>
      <w:r w:rsidR="00407506">
        <w:rPr>
          <w:rFonts w:asciiTheme="minorHAnsi" w:hAnsiTheme="minorHAnsi"/>
          <w:lang w:eastAsia="en-AU"/>
        </w:rPr>
        <w:t xml:space="preserve"> one</w:t>
      </w:r>
      <w:r>
        <w:rPr>
          <w:rFonts w:asciiTheme="minorHAnsi" w:hAnsiTheme="minorHAnsi"/>
          <w:lang w:eastAsia="en-AU"/>
        </w:rPr>
        <w:t xml:space="preserve"> is very close to the town o</w:t>
      </w:r>
      <w:r w:rsidR="007C2180">
        <w:rPr>
          <w:rFonts w:asciiTheme="minorHAnsi" w:hAnsiTheme="minorHAnsi"/>
          <w:lang w:eastAsia="en-AU"/>
        </w:rPr>
        <w:t>f Fitzroy Crossing</w:t>
      </w:r>
      <w:r w:rsidR="007C2180" w:rsidRPr="007C2180">
        <w:rPr>
          <w:rFonts w:asciiTheme="minorHAnsi" w:hAnsiTheme="minorHAnsi"/>
          <w:lang w:eastAsia="en-AU"/>
        </w:rPr>
        <w:t xml:space="preserve">, the other </w:t>
      </w:r>
      <w:r w:rsidR="00D50306">
        <w:rPr>
          <w:rFonts w:asciiTheme="minorHAnsi" w:hAnsiTheme="minorHAnsi"/>
          <w:lang w:eastAsia="en-AU"/>
        </w:rPr>
        <w:t>two</w:t>
      </w:r>
      <w:r w:rsidR="007C2180" w:rsidRPr="007C2180">
        <w:rPr>
          <w:rFonts w:asciiTheme="minorHAnsi" w:hAnsiTheme="minorHAnsi"/>
          <w:lang w:eastAsia="en-AU"/>
        </w:rPr>
        <w:t xml:space="preserve">, </w:t>
      </w:r>
      <w:r w:rsidR="007C2180" w:rsidRPr="007C2180">
        <w:rPr>
          <w:rFonts w:asciiTheme="minorHAnsi" w:hAnsiTheme="minorHAnsi"/>
        </w:rPr>
        <w:t>Wangatjungka and Noonkanbah</w:t>
      </w:r>
      <w:r w:rsidR="00407506">
        <w:rPr>
          <w:rFonts w:asciiTheme="minorHAnsi" w:hAnsiTheme="minorHAnsi"/>
        </w:rPr>
        <w:t>,</w:t>
      </w:r>
      <w:r w:rsidR="007C2180" w:rsidRPr="007C2180">
        <w:rPr>
          <w:rFonts w:asciiTheme="minorHAnsi" w:hAnsiTheme="minorHAnsi"/>
        </w:rPr>
        <w:t xml:space="preserve"> </w:t>
      </w:r>
      <w:r w:rsidRPr="007C2180">
        <w:rPr>
          <w:rFonts w:asciiTheme="minorHAnsi" w:hAnsiTheme="minorHAnsi"/>
          <w:lang w:eastAsia="en-AU"/>
        </w:rPr>
        <w:t xml:space="preserve">are </w:t>
      </w:r>
      <w:r w:rsidR="00C67D89">
        <w:rPr>
          <w:rFonts w:asciiTheme="minorHAnsi" w:hAnsiTheme="minorHAnsi"/>
          <w:lang w:eastAsia="en-AU"/>
        </w:rPr>
        <w:t>distant with Wangkatjungka being accessed by road including a 15 km</w:t>
      </w:r>
      <w:r w:rsidR="00060FF0">
        <w:rPr>
          <w:rFonts w:asciiTheme="minorHAnsi" w:hAnsiTheme="minorHAnsi"/>
          <w:lang w:eastAsia="en-AU"/>
        </w:rPr>
        <w:t xml:space="preserve"> </w:t>
      </w:r>
      <w:r w:rsidR="00C67D89">
        <w:rPr>
          <w:rFonts w:asciiTheme="minorHAnsi" w:hAnsiTheme="minorHAnsi"/>
          <w:lang w:eastAsia="en-AU"/>
        </w:rPr>
        <w:t>unsealed section and Noonkanbah having health staff flown in by charter</w:t>
      </w:r>
      <w:r w:rsidRPr="007C2180">
        <w:rPr>
          <w:rFonts w:asciiTheme="minorHAnsi" w:hAnsiTheme="minorHAnsi"/>
          <w:lang w:eastAsia="en-AU"/>
        </w:rPr>
        <w:t>.</w:t>
      </w:r>
      <w:r>
        <w:rPr>
          <w:rFonts w:asciiTheme="minorHAnsi" w:hAnsiTheme="minorHAnsi"/>
          <w:lang w:eastAsia="en-AU"/>
        </w:rPr>
        <w:t xml:space="preserve"> </w:t>
      </w:r>
      <w:r w:rsidR="00067197" w:rsidRPr="00067197">
        <w:rPr>
          <w:rFonts w:asciiTheme="minorHAnsi" w:hAnsiTheme="minorHAnsi"/>
        </w:rPr>
        <w:t xml:space="preserve">At present, due to the lack of staff housing, </w:t>
      </w:r>
      <w:r w:rsidR="00CA7ED0">
        <w:rPr>
          <w:rFonts w:asciiTheme="minorHAnsi" w:hAnsiTheme="minorHAnsi"/>
        </w:rPr>
        <w:t>nursing and clinical support staff</w:t>
      </w:r>
      <w:r w:rsidR="00067197" w:rsidRPr="00067197">
        <w:rPr>
          <w:rFonts w:asciiTheme="minorHAnsi" w:hAnsiTheme="minorHAnsi"/>
        </w:rPr>
        <w:t xml:space="preserve"> </w:t>
      </w:r>
      <w:r w:rsidR="00CA7ED0">
        <w:rPr>
          <w:rFonts w:asciiTheme="minorHAnsi" w:hAnsiTheme="minorHAnsi"/>
        </w:rPr>
        <w:t>travel</w:t>
      </w:r>
      <w:r w:rsidR="00CA7ED0" w:rsidRPr="00067197">
        <w:rPr>
          <w:rFonts w:asciiTheme="minorHAnsi" w:hAnsiTheme="minorHAnsi"/>
        </w:rPr>
        <w:t xml:space="preserve"> </w:t>
      </w:r>
      <w:r w:rsidR="00067197" w:rsidRPr="00067197">
        <w:rPr>
          <w:rFonts w:asciiTheme="minorHAnsi" w:hAnsiTheme="minorHAnsi"/>
        </w:rPr>
        <w:t>out to the</w:t>
      </w:r>
      <w:r w:rsidR="007C2180">
        <w:rPr>
          <w:rFonts w:asciiTheme="minorHAnsi" w:hAnsiTheme="minorHAnsi"/>
        </w:rPr>
        <w:t>se</w:t>
      </w:r>
      <w:r w:rsidR="00067197" w:rsidRPr="00067197">
        <w:rPr>
          <w:rFonts w:asciiTheme="minorHAnsi" w:hAnsiTheme="minorHAnsi"/>
        </w:rPr>
        <w:t xml:space="preserve"> site</w:t>
      </w:r>
      <w:r w:rsidR="007C2180">
        <w:rPr>
          <w:rFonts w:asciiTheme="minorHAnsi" w:hAnsiTheme="minorHAnsi"/>
        </w:rPr>
        <w:t>s</w:t>
      </w:r>
      <w:r w:rsidR="00067197" w:rsidRPr="00067197">
        <w:rPr>
          <w:rFonts w:asciiTheme="minorHAnsi" w:hAnsiTheme="minorHAnsi"/>
        </w:rPr>
        <w:t xml:space="preserve"> </w:t>
      </w:r>
      <w:r w:rsidR="00262C89">
        <w:rPr>
          <w:rFonts w:asciiTheme="minorHAnsi" w:hAnsiTheme="minorHAnsi"/>
        </w:rPr>
        <w:t xml:space="preserve">from </w:t>
      </w:r>
      <w:r w:rsidR="0019101D">
        <w:rPr>
          <w:rFonts w:asciiTheme="minorHAnsi" w:hAnsiTheme="minorHAnsi"/>
        </w:rPr>
        <w:t xml:space="preserve">Fitzroy Crossing </w:t>
      </w:r>
      <w:r w:rsidR="00067197" w:rsidRPr="00067197">
        <w:rPr>
          <w:rFonts w:asciiTheme="minorHAnsi" w:hAnsiTheme="minorHAnsi"/>
        </w:rPr>
        <w:t>4 days a week.  Each day almost 3 hours of</w:t>
      </w:r>
      <w:r w:rsidR="0019101D">
        <w:rPr>
          <w:rFonts w:asciiTheme="minorHAnsi" w:hAnsiTheme="minorHAnsi"/>
        </w:rPr>
        <w:t xml:space="preserve"> the</w:t>
      </w:r>
      <w:r w:rsidR="00067197" w:rsidRPr="00067197">
        <w:rPr>
          <w:rFonts w:asciiTheme="minorHAnsi" w:hAnsiTheme="minorHAnsi"/>
        </w:rPr>
        <w:t xml:space="preserve"> working day is spent driving rather than addressing health needs.  This is both unsustainable and inefficient.</w:t>
      </w:r>
      <w:r w:rsidR="00067197">
        <w:rPr>
          <w:rFonts w:asciiTheme="minorHAnsi" w:hAnsiTheme="minorHAnsi"/>
          <w:b/>
        </w:rPr>
        <w:t xml:space="preserve"> </w:t>
      </w:r>
    </w:p>
    <w:p w:rsidR="00407506" w:rsidRDefault="00407506" w:rsidP="007C2180">
      <w:pPr>
        <w:pStyle w:val="Default"/>
        <w:ind w:left="720"/>
        <w:rPr>
          <w:rFonts w:asciiTheme="minorHAnsi" w:hAnsiTheme="minorHAnsi"/>
          <w:b/>
        </w:rPr>
      </w:pPr>
    </w:p>
    <w:p w:rsidR="00407506" w:rsidRDefault="00407506" w:rsidP="007C2180">
      <w:pPr>
        <w:pStyle w:val="Default"/>
        <w:ind w:left="720"/>
        <w:rPr>
          <w:rFonts w:asciiTheme="minorHAnsi" w:hAnsiTheme="minorHAnsi"/>
        </w:rPr>
      </w:pPr>
      <w:r w:rsidRPr="00407506">
        <w:rPr>
          <w:rFonts w:asciiTheme="minorHAnsi" w:hAnsiTheme="minorHAnsi"/>
        </w:rPr>
        <w:t>Similar inequities exist in the delivery of allied health</w:t>
      </w:r>
      <w:r w:rsidRPr="00407506">
        <w:rPr>
          <w:rStyle w:val="FootnoteReference"/>
          <w:rFonts w:asciiTheme="minorHAnsi" w:hAnsiTheme="minorHAnsi"/>
        </w:rPr>
        <w:footnoteReference w:id="13"/>
      </w:r>
      <w:r w:rsidR="00CA7ED0">
        <w:rPr>
          <w:rFonts w:asciiTheme="minorHAnsi" w:hAnsiTheme="minorHAnsi"/>
        </w:rPr>
        <w:t>, mental health</w:t>
      </w:r>
      <w:r w:rsidRPr="00407506">
        <w:rPr>
          <w:rFonts w:asciiTheme="minorHAnsi" w:hAnsiTheme="minorHAnsi"/>
        </w:rPr>
        <w:t xml:space="preserve"> and oral health</w:t>
      </w:r>
      <w:r w:rsidRPr="00407506">
        <w:rPr>
          <w:rStyle w:val="FootnoteReference"/>
          <w:rFonts w:asciiTheme="minorHAnsi" w:hAnsiTheme="minorHAnsi"/>
        </w:rPr>
        <w:footnoteReference w:id="14"/>
      </w:r>
      <w:r w:rsidRPr="00407506">
        <w:rPr>
          <w:rFonts w:asciiTheme="minorHAnsi" w:hAnsiTheme="minorHAnsi"/>
        </w:rPr>
        <w:t xml:space="preserve"> services to remote communities. </w:t>
      </w:r>
    </w:p>
    <w:p w:rsidR="00E87CAD" w:rsidRDefault="00E87CAD" w:rsidP="00E87CAD">
      <w:pPr>
        <w:pStyle w:val="Default"/>
        <w:rPr>
          <w:rFonts w:asciiTheme="minorHAnsi" w:hAnsiTheme="minorHAnsi"/>
        </w:rPr>
      </w:pPr>
    </w:p>
    <w:p w:rsidR="00E87CAD" w:rsidRPr="00E87CAD" w:rsidRDefault="00E87CAD" w:rsidP="00E87CAD">
      <w:pPr>
        <w:pStyle w:val="Default"/>
        <w:numPr>
          <w:ilvl w:val="0"/>
          <w:numId w:val="30"/>
        </w:numPr>
        <w:rPr>
          <w:rFonts w:asciiTheme="minorHAnsi" w:hAnsiTheme="minorHAnsi"/>
          <w:b/>
        </w:rPr>
      </w:pPr>
      <w:r w:rsidRPr="00E87CAD">
        <w:rPr>
          <w:rFonts w:asciiTheme="minorHAnsi" w:hAnsiTheme="minorHAnsi"/>
          <w:b/>
        </w:rPr>
        <w:t xml:space="preserve">Address the backlog in capital works funding </w:t>
      </w:r>
      <w:r>
        <w:rPr>
          <w:rFonts w:asciiTheme="minorHAnsi" w:hAnsiTheme="minorHAnsi"/>
          <w:b/>
        </w:rPr>
        <w:t>required to</w:t>
      </w:r>
      <w:r w:rsidRPr="00E87CAD">
        <w:rPr>
          <w:rFonts w:asciiTheme="minorHAnsi" w:hAnsiTheme="minorHAnsi"/>
          <w:b/>
        </w:rPr>
        <w:t xml:space="preserve"> address clinic and </w:t>
      </w:r>
      <w:r>
        <w:rPr>
          <w:rFonts w:asciiTheme="minorHAnsi" w:hAnsiTheme="minorHAnsi"/>
          <w:b/>
        </w:rPr>
        <w:t xml:space="preserve">staff </w:t>
      </w:r>
      <w:r w:rsidRPr="00E87CAD">
        <w:rPr>
          <w:rFonts w:asciiTheme="minorHAnsi" w:hAnsiTheme="minorHAnsi"/>
          <w:b/>
        </w:rPr>
        <w:t>housing shortfalls:</w:t>
      </w:r>
    </w:p>
    <w:p w:rsidR="00EE33BE" w:rsidRDefault="00EE33BE" w:rsidP="00E87CAD">
      <w:pPr>
        <w:pStyle w:val="Default"/>
        <w:ind w:left="720"/>
        <w:rPr>
          <w:rFonts w:asciiTheme="minorHAnsi" w:hAnsiTheme="minorHAnsi"/>
        </w:rPr>
      </w:pPr>
      <w:r>
        <w:rPr>
          <w:rFonts w:asciiTheme="minorHAnsi" w:hAnsiTheme="minorHAnsi"/>
        </w:rPr>
        <w:t xml:space="preserve">A number of clinics require expansion if they are to move away from the 1:1 provision of clinical care and into primary prevention and early intervention – where a larger room for group work may be required if there is no other meeting space in the community. </w:t>
      </w:r>
    </w:p>
    <w:p w:rsidR="00C76B9C" w:rsidRDefault="00EE33BE" w:rsidP="00E87CAD">
      <w:pPr>
        <w:pStyle w:val="Default"/>
        <w:ind w:left="720"/>
        <w:rPr>
          <w:rFonts w:asciiTheme="minorHAnsi" w:hAnsiTheme="minorHAnsi"/>
        </w:rPr>
      </w:pPr>
      <w:r>
        <w:rPr>
          <w:rFonts w:asciiTheme="minorHAnsi" w:hAnsiTheme="minorHAnsi"/>
        </w:rPr>
        <w:t xml:space="preserve"> Although the value of an holistic approach is acknowledged and discussions are underway about the value of team visits e</w:t>
      </w:r>
      <w:r w:rsidR="0041061C">
        <w:rPr>
          <w:rFonts w:asciiTheme="minorHAnsi" w:hAnsiTheme="minorHAnsi"/>
        </w:rPr>
        <w:t>.</w:t>
      </w:r>
      <w:r>
        <w:rPr>
          <w:rFonts w:asciiTheme="minorHAnsi" w:hAnsiTheme="minorHAnsi"/>
        </w:rPr>
        <w:t xml:space="preserve">g. by the regional physician, allied health providers and  Chronic disease or Renal Support nurses, the reality is that few </w:t>
      </w:r>
      <w:r w:rsidR="00CA7ED0">
        <w:rPr>
          <w:rFonts w:asciiTheme="minorHAnsi" w:hAnsiTheme="minorHAnsi"/>
        </w:rPr>
        <w:t xml:space="preserve">if any </w:t>
      </w:r>
      <w:r>
        <w:rPr>
          <w:rFonts w:asciiTheme="minorHAnsi" w:hAnsiTheme="minorHAnsi"/>
        </w:rPr>
        <w:t xml:space="preserve">remote clinics have the capacity to provide appropriate space for so many providers. </w:t>
      </w:r>
    </w:p>
    <w:p w:rsidR="00C76B9C" w:rsidRDefault="00C76B9C" w:rsidP="00E87CAD">
      <w:pPr>
        <w:pStyle w:val="Default"/>
        <w:ind w:left="720"/>
        <w:rPr>
          <w:rFonts w:asciiTheme="minorHAnsi" w:hAnsiTheme="minorHAnsi"/>
        </w:rPr>
      </w:pPr>
    </w:p>
    <w:p w:rsidR="00C76B9C" w:rsidRPr="0014399B" w:rsidRDefault="00C76B9C" w:rsidP="00C76B9C">
      <w:pPr>
        <w:pStyle w:val="Default"/>
        <w:ind w:left="720"/>
        <w:rPr>
          <w:rFonts w:asciiTheme="minorHAnsi" w:hAnsiTheme="minorHAnsi"/>
          <w:b/>
        </w:rPr>
      </w:pPr>
      <w:r w:rsidRPr="0014399B">
        <w:rPr>
          <w:rFonts w:asciiTheme="minorHAnsi" w:hAnsiTheme="minorHAnsi"/>
        </w:rPr>
        <w:t>Similarly, several remote clinic sites, in particular Wangkatjungka and Noonkanbah</w:t>
      </w:r>
      <w:r>
        <w:rPr>
          <w:rFonts w:asciiTheme="minorHAnsi" w:hAnsiTheme="minorHAnsi"/>
        </w:rPr>
        <w:t>,</w:t>
      </w:r>
      <w:r w:rsidRPr="0014399B">
        <w:rPr>
          <w:rFonts w:asciiTheme="minorHAnsi" w:hAnsiTheme="minorHAnsi"/>
        </w:rPr>
        <w:t xml:space="preserve"> require new or additional staff housing. </w:t>
      </w:r>
    </w:p>
    <w:p w:rsidR="00C76B9C" w:rsidRPr="0014399B" w:rsidRDefault="00C76B9C" w:rsidP="00C76B9C">
      <w:pPr>
        <w:pStyle w:val="Default"/>
        <w:rPr>
          <w:rFonts w:asciiTheme="minorHAnsi" w:hAnsiTheme="minorHAnsi"/>
        </w:rPr>
      </w:pPr>
    </w:p>
    <w:p w:rsidR="00C76B9C" w:rsidRDefault="00C76B9C" w:rsidP="00C76B9C">
      <w:pPr>
        <w:pStyle w:val="Default"/>
        <w:ind w:left="720"/>
        <w:rPr>
          <w:rFonts w:asciiTheme="minorHAnsi" w:hAnsiTheme="minorHAnsi"/>
        </w:rPr>
      </w:pPr>
      <w:r w:rsidRPr="0014399B">
        <w:rPr>
          <w:rFonts w:asciiTheme="minorHAnsi" w:hAnsiTheme="minorHAnsi"/>
        </w:rPr>
        <w:t xml:space="preserve">A detailed long term plan which addresses the capital works requirements for </w:t>
      </w:r>
      <w:r w:rsidR="00CA7ED0">
        <w:rPr>
          <w:rFonts w:asciiTheme="minorHAnsi" w:hAnsiTheme="minorHAnsi"/>
        </w:rPr>
        <w:t>health facilities</w:t>
      </w:r>
      <w:r w:rsidR="00CA7ED0" w:rsidRPr="0014399B">
        <w:rPr>
          <w:rFonts w:asciiTheme="minorHAnsi" w:hAnsiTheme="minorHAnsi"/>
        </w:rPr>
        <w:t xml:space="preserve"> </w:t>
      </w:r>
      <w:r w:rsidRPr="0014399B">
        <w:rPr>
          <w:rFonts w:asciiTheme="minorHAnsi" w:hAnsiTheme="minorHAnsi"/>
        </w:rPr>
        <w:t xml:space="preserve">and staff housing needs to be developed in conjunction with KAHPF.    This must budget appropriately for the need to work with stakeholders in remote communities including Councils and Traditional Owners to identify available housing or land. </w:t>
      </w:r>
    </w:p>
    <w:p w:rsidR="0041061C" w:rsidRDefault="0041061C" w:rsidP="0041061C">
      <w:pPr>
        <w:pStyle w:val="Default"/>
        <w:rPr>
          <w:rFonts w:asciiTheme="minorHAnsi" w:hAnsiTheme="minorHAnsi"/>
        </w:rPr>
      </w:pPr>
    </w:p>
    <w:p w:rsidR="0041061C" w:rsidRPr="00060FF0" w:rsidRDefault="0041061C" w:rsidP="0041061C">
      <w:pPr>
        <w:pStyle w:val="Default"/>
        <w:numPr>
          <w:ilvl w:val="0"/>
          <w:numId w:val="32"/>
        </w:numPr>
        <w:rPr>
          <w:rFonts w:asciiTheme="minorHAnsi" w:hAnsiTheme="minorHAnsi"/>
        </w:rPr>
      </w:pPr>
      <w:r w:rsidRPr="00060FF0">
        <w:rPr>
          <w:rFonts w:asciiTheme="minorHAnsi" w:hAnsiTheme="minorHAnsi"/>
          <w:b/>
        </w:rPr>
        <w:t>Amend</w:t>
      </w:r>
      <w:r w:rsidR="007839C2" w:rsidRPr="00060FF0">
        <w:rPr>
          <w:rFonts w:asciiTheme="minorHAnsi" w:hAnsiTheme="minorHAnsi"/>
          <w:b/>
        </w:rPr>
        <w:t xml:space="preserve"> the</w:t>
      </w:r>
      <w:r w:rsidRPr="00060FF0">
        <w:rPr>
          <w:rFonts w:asciiTheme="minorHAnsi" w:hAnsiTheme="minorHAnsi"/>
          <w:b/>
        </w:rPr>
        <w:t xml:space="preserve"> PATS regulations to enable the transport costs for an individual who has been accepted for AOD rehabilitation to be covered</w:t>
      </w:r>
      <w:r w:rsidRPr="00060FF0">
        <w:rPr>
          <w:rFonts w:asciiTheme="minorHAnsi" w:hAnsiTheme="minorHAnsi"/>
        </w:rPr>
        <w:t>:</w:t>
      </w:r>
    </w:p>
    <w:p w:rsidR="0041061C" w:rsidRPr="0041061C" w:rsidRDefault="0041061C" w:rsidP="0041061C">
      <w:pPr>
        <w:pStyle w:val="Default"/>
        <w:ind w:left="720"/>
        <w:rPr>
          <w:rFonts w:asciiTheme="minorHAnsi" w:hAnsiTheme="minorHAnsi"/>
        </w:rPr>
      </w:pPr>
      <w:r w:rsidRPr="00060FF0">
        <w:rPr>
          <w:rFonts w:asciiTheme="minorHAnsi" w:hAnsiTheme="minorHAnsi"/>
        </w:rPr>
        <w:t>At present the transport costs of getting an individual who has secured a place at a AOD rehabilitation service to th</w:t>
      </w:r>
      <w:r w:rsidR="007A47E5" w:rsidRPr="00060FF0">
        <w:rPr>
          <w:rFonts w:asciiTheme="minorHAnsi" w:hAnsiTheme="minorHAnsi"/>
        </w:rPr>
        <w:t>at</w:t>
      </w:r>
      <w:r w:rsidRPr="00060FF0">
        <w:rPr>
          <w:rFonts w:asciiTheme="minorHAnsi" w:hAnsiTheme="minorHAnsi"/>
        </w:rPr>
        <w:t xml:space="preserve"> service are only covered if they are discharged from hospital to rehab, for example after detoxification.  The lack of funding for transport is a significant disincentive preventing or delaying many people taking up their rehab place.</w:t>
      </w:r>
      <w:r>
        <w:rPr>
          <w:rFonts w:asciiTheme="minorHAnsi" w:hAnsiTheme="minorHAnsi"/>
        </w:rPr>
        <w:t xml:space="preserve"> </w:t>
      </w:r>
    </w:p>
    <w:p w:rsidR="003431C4" w:rsidRPr="00C76B9C" w:rsidRDefault="00EE33BE" w:rsidP="00C76B9C">
      <w:pPr>
        <w:pStyle w:val="Default"/>
        <w:ind w:left="720"/>
        <w:rPr>
          <w:rFonts w:asciiTheme="minorHAnsi" w:hAnsiTheme="minorHAnsi"/>
        </w:rPr>
      </w:pPr>
      <w:r>
        <w:rPr>
          <w:rFonts w:asciiTheme="minorHAnsi" w:hAnsiTheme="minorHAnsi"/>
        </w:rPr>
        <w:t xml:space="preserve"> </w:t>
      </w:r>
    </w:p>
    <w:p w:rsidR="00F37ED2" w:rsidRPr="007F39A6" w:rsidRDefault="00F37ED2" w:rsidP="00067197">
      <w:pPr>
        <w:autoSpaceDE w:val="0"/>
        <w:autoSpaceDN w:val="0"/>
        <w:adjustRightInd w:val="0"/>
        <w:jc w:val="both"/>
        <w:rPr>
          <w:rFonts w:cs="TTE2228400t00"/>
          <w:color w:val="1F4E79" w:themeColor="accent1" w:themeShade="80"/>
          <w:lang w:eastAsia="en-AU"/>
        </w:rPr>
      </w:pPr>
    </w:p>
    <w:p w:rsidR="00F37ED2" w:rsidRPr="007F39A6" w:rsidRDefault="007F39A6" w:rsidP="00F37ED2">
      <w:pPr>
        <w:autoSpaceDE w:val="0"/>
        <w:autoSpaceDN w:val="0"/>
        <w:adjustRightInd w:val="0"/>
        <w:jc w:val="left"/>
        <w:rPr>
          <w:rFonts w:cs="TTE2228400t00"/>
          <w:b/>
          <w:color w:val="1F4E79" w:themeColor="accent1" w:themeShade="80"/>
          <w:sz w:val="28"/>
          <w:szCs w:val="28"/>
          <w:lang w:eastAsia="en-AU"/>
        </w:rPr>
      </w:pPr>
      <w:r w:rsidRPr="007F39A6">
        <w:rPr>
          <w:rFonts w:cs="TTE2228400t00"/>
          <w:b/>
          <w:color w:val="1F4E79" w:themeColor="accent1" w:themeShade="80"/>
          <w:sz w:val="28"/>
          <w:szCs w:val="28"/>
          <w:u w:val="single"/>
          <w:lang w:eastAsia="en-AU"/>
        </w:rPr>
        <w:t>RECOMMENDATIONS</w:t>
      </w:r>
      <w:r w:rsidRPr="007F39A6">
        <w:rPr>
          <w:rFonts w:cs="TTE2228400t00"/>
          <w:b/>
          <w:color w:val="1F4E79" w:themeColor="accent1" w:themeShade="80"/>
          <w:sz w:val="28"/>
          <w:szCs w:val="28"/>
          <w:lang w:eastAsia="en-AU"/>
        </w:rPr>
        <w:t xml:space="preserve">:  </w:t>
      </w:r>
      <w:r w:rsidR="00F37ED2" w:rsidRPr="007F39A6">
        <w:rPr>
          <w:rFonts w:cs="TTE2228400t00"/>
          <w:b/>
          <w:color w:val="1F4E79" w:themeColor="accent1" w:themeShade="80"/>
          <w:sz w:val="28"/>
          <w:szCs w:val="28"/>
          <w:lang w:eastAsia="en-AU"/>
        </w:rPr>
        <w:t>INITIATIVES WHICH WOULD GENERATE IMPROVED HEALTH OUTCOMES IN THE SHORT-MEDIUM TERM</w:t>
      </w:r>
    </w:p>
    <w:p w:rsidR="00F37ED2" w:rsidRPr="007F39A6" w:rsidRDefault="00F37ED2" w:rsidP="006E639B">
      <w:pPr>
        <w:autoSpaceDE w:val="0"/>
        <w:autoSpaceDN w:val="0"/>
        <w:adjustRightInd w:val="0"/>
        <w:jc w:val="both"/>
        <w:rPr>
          <w:rFonts w:cs="TTE2228400t00"/>
          <w:sz w:val="20"/>
          <w:szCs w:val="20"/>
          <w:lang w:eastAsia="en-AU"/>
        </w:rPr>
      </w:pPr>
    </w:p>
    <w:p w:rsidR="00F37ED2" w:rsidRPr="00F37ED2" w:rsidRDefault="00F37ED2" w:rsidP="007839C2">
      <w:pPr>
        <w:pStyle w:val="ListParagraph"/>
        <w:numPr>
          <w:ilvl w:val="0"/>
          <w:numId w:val="10"/>
        </w:numPr>
        <w:autoSpaceDE w:val="0"/>
        <w:autoSpaceDN w:val="0"/>
        <w:adjustRightInd w:val="0"/>
        <w:ind w:left="357" w:hanging="357"/>
        <w:jc w:val="both"/>
        <w:rPr>
          <w:rFonts w:asciiTheme="minorHAnsi" w:hAnsiTheme="minorHAnsi" w:cs="TTE2228400t00"/>
          <w:b/>
          <w:lang w:eastAsia="en-AU"/>
        </w:rPr>
      </w:pPr>
      <w:r w:rsidRPr="00F37ED2">
        <w:rPr>
          <w:rFonts w:asciiTheme="minorHAnsi" w:hAnsiTheme="minorHAnsi" w:cs="TTE2228400t00"/>
          <w:b/>
          <w:lang w:eastAsia="en-AU"/>
        </w:rPr>
        <w:t>Additional measures to improve food security:</w:t>
      </w:r>
    </w:p>
    <w:p w:rsidR="00F37ED2" w:rsidRPr="00067197" w:rsidRDefault="00F37ED2" w:rsidP="00F37ED2">
      <w:pPr>
        <w:pStyle w:val="Default"/>
        <w:rPr>
          <w:rFonts w:asciiTheme="minorHAnsi" w:hAnsiTheme="minorHAnsi"/>
        </w:rPr>
      </w:pPr>
      <w:r w:rsidRPr="00067197">
        <w:rPr>
          <w:rFonts w:asciiTheme="minorHAnsi" w:hAnsiTheme="minorHAnsi"/>
        </w:rPr>
        <w:t xml:space="preserve">Priorities which </w:t>
      </w:r>
      <w:r>
        <w:rPr>
          <w:rFonts w:asciiTheme="minorHAnsi" w:hAnsiTheme="minorHAnsi"/>
        </w:rPr>
        <w:t>sh</w:t>
      </w:r>
      <w:r w:rsidRPr="00067197">
        <w:rPr>
          <w:rFonts w:asciiTheme="minorHAnsi" w:hAnsiTheme="minorHAnsi"/>
        </w:rPr>
        <w:t xml:space="preserve">ould be addressed include: </w:t>
      </w:r>
    </w:p>
    <w:p w:rsidR="00F37ED2" w:rsidRPr="00067197" w:rsidRDefault="00F37ED2" w:rsidP="00F37ED2">
      <w:pPr>
        <w:pStyle w:val="Default"/>
        <w:numPr>
          <w:ilvl w:val="1"/>
          <w:numId w:val="7"/>
        </w:numPr>
        <w:spacing w:after="31"/>
        <w:rPr>
          <w:rFonts w:asciiTheme="minorHAnsi" w:hAnsiTheme="minorHAnsi"/>
        </w:rPr>
      </w:pPr>
      <w:r w:rsidRPr="00067197">
        <w:rPr>
          <w:rFonts w:asciiTheme="minorHAnsi" w:hAnsiTheme="minorHAnsi"/>
        </w:rPr>
        <w:t xml:space="preserve">Establishment of a standardised system for monitoring and evaluating the availability and cost of food in remote communities </w:t>
      </w:r>
    </w:p>
    <w:p w:rsidR="00F37ED2" w:rsidRPr="00067197" w:rsidRDefault="00F37ED2" w:rsidP="00F37ED2">
      <w:pPr>
        <w:pStyle w:val="Default"/>
        <w:numPr>
          <w:ilvl w:val="1"/>
          <w:numId w:val="7"/>
        </w:numPr>
        <w:spacing w:after="31"/>
        <w:rPr>
          <w:rFonts w:asciiTheme="minorHAnsi" w:hAnsiTheme="minorHAnsi"/>
        </w:rPr>
      </w:pPr>
      <w:r w:rsidRPr="00067197">
        <w:rPr>
          <w:rFonts w:asciiTheme="minorHAnsi" w:hAnsiTheme="minorHAnsi"/>
        </w:rPr>
        <w:t xml:space="preserve">Funding to support the production of healthy foods within and by community through edible gardens and agriculture, along with capacity building and education to enable sustainability of the gardens and agriculture and to promote healthy food choices. </w:t>
      </w:r>
    </w:p>
    <w:p w:rsidR="00F37ED2" w:rsidRDefault="00F37ED2" w:rsidP="00F37ED2">
      <w:pPr>
        <w:pStyle w:val="Default"/>
        <w:numPr>
          <w:ilvl w:val="1"/>
          <w:numId w:val="7"/>
        </w:numPr>
        <w:rPr>
          <w:rFonts w:asciiTheme="minorHAnsi" w:hAnsiTheme="minorHAnsi"/>
        </w:rPr>
      </w:pPr>
      <w:r w:rsidRPr="00067197">
        <w:rPr>
          <w:rFonts w:asciiTheme="minorHAnsi" w:hAnsiTheme="minorHAnsi"/>
        </w:rPr>
        <w:t xml:space="preserve">Support for initiatives that give the children access to healthy meals and </w:t>
      </w:r>
      <w:r w:rsidR="00CA7ED0">
        <w:rPr>
          <w:rFonts w:asciiTheme="minorHAnsi" w:hAnsiTheme="minorHAnsi"/>
        </w:rPr>
        <w:t xml:space="preserve">familiarise them with </w:t>
      </w:r>
      <w:r w:rsidRPr="00067197">
        <w:rPr>
          <w:rFonts w:asciiTheme="minorHAnsi" w:hAnsiTheme="minorHAnsi"/>
        </w:rPr>
        <w:t xml:space="preserve">nutrition </w:t>
      </w:r>
      <w:r w:rsidR="00CA7ED0">
        <w:rPr>
          <w:rFonts w:asciiTheme="minorHAnsi" w:hAnsiTheme="minorHAnsi"/>
        </w:rPr>
        <w:t>for good health</w:t>
      </w:r>
      <w:r w:rsidR="00CA7ED0" w:rsidRPr="00067197">
        <w:rPr>
          <w:rFonts w:asciiTheme="minorHAnsi" w:hAnsiTheme="minorHAnsi"/>
        </w:rPr>
        <w:t xml:space="preserve"> </w:t>
      </w:r>
      <w:r w:rsidRPr="00067197">
        <w:rPr>
          <w:rFonts w:asciiTheme="minorHAnsi" w:hAnsiTheme="minorHAnsi"/>
        </w:rPr>
        <w:t xml:space="preserve">on a regular and consistent basis. </w:t>
      </w:r>
    </w:p>
    <w:p w:rsidR="007839C2" w:rsidRDefault="007839C2" w:rsidP="007839C2">
      <w:pPr>
        <w:pStyle w:val="Default"/>
        <w:ind w:left="1440"/>
        <w:rPr>
          <w:rFonts w:asciiTheme="minorHAnsi" w:hAnsiTheme="minorHAnsi"/>
        </w:rPr>
      </w:pPr>
    </w:p>
    <w:p w:rsidR="007839C2" w:rsidRPr="00060FF0" w:rsidRDefault="007839C2" w:rsidP="007C7DB3">
      <w:pPr>
        <w:pStyle w:val="Default"/>
        <w:widowControl w:val="0"/>
        <w:numPr>
          <w:ilvl w:val="0"/>
          <w:numId w:val="7"/>
        </w:numPr>
        <w:ind w:left="357" w:hanging="357"/>
        <w:rPr>
          <w:rFonts w:asciiTheme="minorHAnsi" w:hAnsiTheme="minorHAnsi"/>
          <w:b/>
        </w:rPr>
      </w:pPr>
      <w:r w:rsidRPr="00060FF0">
        <w:rPr>
          <w:rFonts w:asciiTheme="minorHAnsi" w:hAnsiTheme="minorHAnsi"/>
          <w:b/>
        </w:rPr>
        <w:t>Additional funding for  AOD prevention and early intervention in remote communities:</w:t>
      </w:r>
    </w:p>
    <w:p w:rsidR="007839C2" w:rsidRPr="00060FF0" w:rsidRDefault="007839C2" w:rsidP="007C7DB3">
      <w:pPr>
        <w:pStyle w:val="Default"/>
        <w:widowControl w:val="0"/>
        <w:rPr>
          <w:rFonts w:asciiTheme="minorHAnsi" w:hAnsiTheme="minorHAnsi"/>
          <w:color w:val="auto"/>
        </w:rPr>
      </w:pPr>
      <w:r w:rsidRPr="00060FF0">
        <w:rPr>
          <w:rFonts w:asciiTheme="minorHAnsi" w:hAnsiTheme="minorHAnsi"/>
          <w:color w:val="auto"/>
        </w:rPr>
        <w:t>The capacity of AOD services in the region to provide prevention and early intervention ser</w:t>
      </w:r>
      <w:r w:rsidR="00654EAE" w:rsidRPr="00060FF0">
        <w:rPr>
          <w:rFonts w:asciiTheme="minorHAnsi" w:hAnsiTheme="minorHAnsi"/>
          <w:color w:val="auto"/>
        </w:rPr>
        <w:t>vices to remote communities is extremely limited in most of the Kimberley.</w:t>
      </w:r>
      <w:r w:rsidRPr="00060FF0">
        <w:rPr>
          <w:rFonts w:asciiTheme="minorHAnsi" w:hAnsiTheme="minorHAnsi"/>
          <w:color w:val="auto"/>
        </w:rPr>
        <w:t xml:space="preserve">  Priorities which require additional funding to enable them to be addressed include:</w:t>
      </w:r>
    </w:p>
    <w:p w:rsidR="007839C2" w:rsidRPr="00060FF0" w:rsidRDefault="007839C2" w:rsidP="007839C2">
      <w:pPr>
        <w:pStyle w:val="ListParagraph"/>
        <w:numPr>
          <w:ilvl w:val="0"/>
          <w:numId w:val="33"/>
        </w:numPr>
        <w:rPr>
          <w:rFonts w:asciiTheme="minorHAnsi" w:hAnsiTheme="minorHAnsi"/>
        </w:rPr>
      </w:pPr>
      <w:r w:rsidRPr="00060FF0">
        <w:rPr>
          <w:rFonts w:asciiTheme="minorHAnsi" w:hAnsiTheme="minorHAnsi"/>
          <w:bCs/>
        </w:rPr>
        <w:t xml:space="preserve">Prevention and early intervention strategies for remote communities (important with the emerging issue of </w:t>
      </w:r>
      <w:r w:rsidR="00CA7ED0" w:rsidRPr="00060FF0">
        <w:rPr>
          <w:rFonts w:asciiTheme="minorHAnsi" w:hAnsiTheme="minorHAnsi"/>
          <w:bCs/>
        </w:rPr>
        <w:t>methyl amphetamine (ICE)</w:t>
      </w:r>
      <w:r w:rsidRPr="00060FF0">
        <w:rPr>
          <w:rFonts w:asciiTheme="minorHAnsi" w:hAnsiTheme="minorHAnsi"/>
          <w:bCs/>
        </w:rPr>
        <w:t xml:space="preserve">), including </w:t>
      </w:r>
      <w:r w:rsidRPr="00060FF0">
        <w:rPr>
          <w:rFonts w:asciiTheme="minorHAnsi" w:hAnsiTheme="minorHAnsi"/>
        </w:rPr>
        <w:t>increasing the capacity of communities to respond to AOD related harm.</w:t>
      </w:r>
    </w:p>
    <w:p w:rsidR="007839C2" w:rsidRPr="00060FF0" w:rsidRDefault="007839C2" w:rsidP="007839C2">
      <w:pPr>
        <w:pStyle w:val="ListParagraph"/>
        <w:numPr>
          <w:ilvl w:val="0"/>
          <w:numId w:val="33"/>
        </w:numPr>
        <w:rPr>
          <w:rFonts w:asciiTheme="minorHAnsi" w:hAnsiTheme="minorHAnsi"/>
          <w:bCs/>
        </w:rPr>
      </w:pPr>
      <w:r w:rsidRPr="00060FF0">
        <w:rPr>
          <w:rFonts w:asciiTheme="minorHAnsi" w:hAnsiTheme="minorHAnsi"/>
          <w:bCs/>
        </w:rPr>
        <w:t>Increased programs/interventions to respond to youth AOD issues.</w:t>
      </w:r>
    </w:p>
    <w:p w:rsidR="007839C2" w:rsidRPr="00060FF0" w:rsidRDefault="007839C2" w:rsidP="007839C2">
      <w:pPr>
        <w:pStyle w:val="ListParagraph"/>
        <w:numPr>
          <w:ilvl w:val="0"/>
          <w:numId w:val="33"/>
        </w:numPr>
        <w:rPr>
          <w:rFonts w:asciiTheme="minorHAnsi" w:hAnsiTheme="minorHAnsi"/>
          <w:bCs/>
        </w:rPr>
      </w:pPr>
      <w:r w:rsidRPr="00060FF0">
        <w:rPr>
          <w:rFonts w:asciiTheme="minorHAnsi" w:hAnsiTheme="minorHAnsi"/>
          <w:bCs/>
        </w:rPr>
        <w:lastRenderedPageBreak/>
        <w:t>Family-based AOD interventions.</w:t>
      </w:r>
    </w:p>
    <w:p w:rsidR="007839C2" w:rsidRPr="00060FF0" w:rsidRDefault="007839C2" w:rsidP="007839C2">
      <w:pPr>
        <w:pStyle w:val="ListParagraph"/>
        <w:numPr>
          <w:ilvl w:val="0"/>
          <w:numId w:val="33"/>
        </w:numPr>
        <w:rPr>
          <w:rFonts w:asciiTheme="minorHAnsi" w:hAnsiTheme="minorHAnsi"/>
        </w:rPr>
      </w:pPr>
      <w:r w:rsidRPr="00060FF0">
        <w:rPr>
          <w:rFonts w:asciiTheme="minorHAnsi" w:hAnsiTheme="minorHAnsi"/>
        </w:rPr>
        <w:t>Improved access to culturally secure AOD treatment and support.</w:t>
      </w:r>
    </w:p>
    <w:p w:rsidR="007839C2" w:rsidRPr="00060FF0" w:rsidRDefault="007839C2" w:rsidP="007839C2">
      <w:pPr>
        <w:pStyle w:val="ListParagraph"/>
        <w:numPr>
          <w:ilvl w:val="0"/>
          <w:numId w:val="33"/>
        </w:numPr>
        <w:rPr>
          <w:rFonts w:asciiTheme="minorHAnsi" w:hAnsiTheme="minorHAnsi"/>
        </w:rPr>
      </w:pPr>
      <w:r w:rsidRPr="00060FF0">
        <w:rPr>
          <w:rFonts w:asciiTheme="minorHAnsi" w:hAnsiTheme="minorHAnsi"/>
        </w:rPr>
        <w:t>Increasing the availability of a range of holistic and culturally secure AOD interventions.</w:t>
      </w:r>
    </w:p>
    <w:p w:rsidR="007C7DB3" w:rsidRDefault="007C7DB3" w:rsidP="007C7DB3">
      <w:pPr>
        <w:jc w:val="both"/>
      </w:pPr>
    </w:p>
    <w:p w:rsidR="007C7DB3" w:rsidRPr="00060FF0" w:rsidRDefault="007C7DB3" w:rsidP="007C7DB3">
      <w:pPr>
        <w:pStyle w:val="ListParagraph"/>
        <w:numPr>
          <w:ilvl w:val="0"/>
          <w:numId w:val="34"/>
        </w:numPr>
        <w:rPr>
          <w:rFonts w:asciiTheme="minorHAnsi" w:hAnsiTheme="minorHAnsi"/>
          <w:b/>
        </w:rPr>
      </w:pPr>
      <w:r w:rsidRPr="00060FF0">
        <w:rPr>
          <w:rFonts w:asciiTheme="minorHAnsi" w:hAnsiTheme="minorHAnsi"/>
          <w:b/>
        </w:rPr>
        <w:t>Additional funding to support and mentor clients leaving AOD rehabilitation</w:t>
      </w:r>
    </w:p>
    <w:p w:rsidR="007C7DB3" w:rsidRPr="007C7DB3" w:rsidRDefault="007C7DB3" w:rsidP="007C7DB3">
      <w:pPr>
        <w:pStyle w:val="ListParagraph"/>
        <w:ind w:left="530"/>
        <w:rPr>
          <w:rFonts w:asciiTheme="minorHAnsi" w:hAnsiTheme="minorHAnsi"/>
        </w:rPr>
      </w:pPr>
      <w:r w:rsidRPr="00060FF0">
        <w:rPr>
          <w:rFonts w:asciiTheme="minorHAnsi" w:hAnsiTheme="minorHAnsi"/>
        </w:rPr>
        <w:t>At present service providers have very limited capacity to provide the ongoing support and mentoring that is required by clients leaving rehab and returning to their previous home environment. Additional resources are needed to enable greater coverage across the Kimberley.</w:t>
      </w:r>
    </w:p>
    <w:p w:rsidR="00F50494" w:rsidRPr="001C48BB" w:rsidRDefault="00F50494" w:rsidP="007C7DB3">
      <w:pPr>
        <w:pStyle w:val="Default"/>
        <w:rPr>
          <w:rFonts w:asciiTheme="minorHAnsi" w:hAnsiTheme="minorHAnsi"/>
          <w:b/>
        </w:rPr>
      </w:pPr>
    </w:p>
    <w:p w:rsidR="00F50494" w:rsidRDefault="00F50494" w:rsidP="007839C2">
      <w:pPr>
        <w:pStyle w:val="Default"/>
        <w:numPr>
          <w:ilvl w:val="0"/>
          <w:numId w:val="7"/>
        </w:numPr>
        <w:ind w:left="527" w:hanging="357"/>
        <w:rPr>
          <w:rFonts w:asciiTheme="minorHAnsi" w:hAnsiTheme="minorHAnsi"/>
          <w:b/>
        </w:rPr>
      </w:pPr>
      <w:r w:rsidRPr="001C48BB">
        <w:rPr>
          <w:rFonts w:asciiTheme="minorHAnsi" w:hAnsiTheme="minorHAnsi"/>
          <w:b/>
        </w:rPr>
        <w:t>A commitment to stop short term project funding and to</w:t>
      </w:r>
      <w:r w:rsidR="001C48BB" w:rsidRPr="001C48BB">
        <w:rPr>
          <w:rFonts w:asciiTheme="minorHAnsi" w:hAnsiTheme="minorHAnsi"/>
          <w:b/>
        </w:rPr>
        <w:t xml:space="preserve"> providing appropriate</w:t>
      </w:r>
      <w:r w:rsidRPr="001C48BB">
        <w:rPr>
          <w:rFonts w:asciiTheme="minorHAnsi" w:hAnsiTheme="minorHAnsi"/>
          <w:b/>
        </w:rPr>
        <w:t xml:space="preserve"> funding </w:t>
      </w:r>
      <w:r w:rsidR="001C48BB" w:rsidRPr="001C48BB">
        <w:rPr>
          <w:rFonts w:asciiTheme="minorHAnsi" w:hAnsiTheme="minorHAnsi"/>
          <w:b/>
        </w:rPr>
        <w:t>for prevention/health promotion and early intervention.</w:t>
      </w:r>
    </w:p>
    <w:p w:rsidR="00DA741C" w:rsidRDefault="0019101D" w:rsidP="007839C2">
      <w:pPr>
        <w:pStyle w:val="Default"/>
        <w:ind w:left="527"/>
        <w:rPr>
          <w:rFonts w:asciiTheme="minorHAnsi" w:hAnsiTheme="minorHAnsi"/>
        </w:rPr>
      </w:pPr>
      <w:r w:rsidRPr="00262C89">
        <w:rPr>
          <w:rFonts w:asciiTheme="minorHAnsi" w:hAnsiTheme="minorHAnsi"/>
        </w:rPr>
        <w:t xml:space="preserve">This approach was proposed by Prof Holman.  Aboriginal communities will welcome a pledge to long-term health service funding.  Health services in metropolitan settings for non-Aboriginal people are typically recurrently funded.  However in the remote Kimberley, short-term project funding </w:t>
      </w:r>
      <w:r w:rsidR="00DA741C">
        <w:rPr>
          <w:rFonts w:asciiTheme="minorHAnsi" w:hAnsiTheme="minorHAnsi"/>
        </w:rPr>
        <w:t>has been the only way to secure growth funding</w:t>
      </w:r>
      <w:r w:rsidRPr="00262C89">
        <w:rPr>
          <w:rFonts w:asciiTheme="minorHAnsi" w:hAnsiTheme="minorHAnsi"/>
        </w:rPr>
        <w:t xml:space="preserve">.  </w:t>
      </w:r>
      <w:r w:rsidR="00DA741C">
        <w:rPr>
          <w:rFonts w:asciiTheme="minorHAnsi" w:hAnsiTheme="minorHAnsi"/>
        </w:rPr>
        <w:t xml:space="preserve">In a situation where relationship building and trust are crucial to effective health service delivery, the uncertainty of future contracts constrains staff </w:t>
      </w:r>
      <w:r w:rsidRPr="00262C89">
        <w:rPr>
          <w:rFonts w:asciiTheme="minorHAnsi" w:hAnsiTheme="minorHAnsi"/>
        </w:rPr>
        <w:t>to commit</w:t>
      </w:r>
      <w:r w:rsidR="00DA741C">
        <w:rPr>
          <w:rFonts w:asciiTheme="minorHAnsi" w:hAnsiTheme="minorHAnsi"/>
        </w:rPr>
        <w:t>ment</w:t>
      </w:r>
      <w:r w:rsidRPr="00262C89">
        <w:rPr>
          <w:rFonts w:asciiTheme="minorHAnsi" w:hAnsiTheme="minorHAnsi"/>
        </w:rPr>
        <w:t xml:space="preserve"> to co</w:t>
      </w:r>
      <w:r w:rsidR="00DA741C">
        <w:rPr>
          <w:rFonts w:asciiTheme="minorHAnsi" w:hAnsiTheme="minorHAnsi"/>
        </w:rPr>
        <w:t>mmunities</w:t>
      </w:r>
      <w:r w:rsidRPr="00262C89">
        <w:rPr>
          <w:rFonts w:asciiTheme="minorHAnsi" w:hAnsiTheme="minorHAnsi"/>
        </w:rPr>
        <w:t>.</w:t>
      </w:r>
    </w:p>
    <w:p w:rsidR="00DA741C" w:rsidRDefault="00DA741C" w:rsidP="007839C2">
      <w:pPr>
        <w:pStyle w:val="Default"/>
        <w:ind w:left="527"/>
        <w:rPr>
          <w:rFonts w:asciiTheme="minorHAnsi" w:hAnsiTheme="minorHAnsi"/>
        </w:rPr>
      </w:pPr>
    </w:p>
    <w:p w:rsidR="002C2819" w:rsidRPr="002C2819" w:rsidRDefault="00DA741C" w:rsidP="007839C2">
      <w:pPr>
        <w:pStyle w:val="Default"/>
        <w:ind w:left="527"/>
        <w:rPr>
          <w:rFonts w:asciiTheme="minorHAnsi" w:hAnsiTheme="minorHAnsi"/>
        </w:rPr>
      </w:pPr>
      <w:r>
        <w:rPr>
          <w:rFonts w:asciiTheme="minorHAnsi" w:hAnsiTheme="minorHAnsi"/>
        </w:rPr>
        <w:t>In essence, t</w:t>
      </w:r>
      <w:r w:rsidR="0019101D" w:rsidRPr="00262C89">
        <w:rPr>
          <w:rFonts w:asciiTheme="minorHAnsi" w:hAnsiTheme="minorHAnsi"/>
        </w:rPr>
        <w:t xml:space="preserve">he majority of key positions in primary health care including but not restricted to community midwives, sexual health nurses, Aboriginal liaison officers, GPs, Aboriginal ear health workers, community cultural carers and generalist remote area nurses should be established positions unaffected by staff freezes or end-of-funding.   </w:t>
      </w:r>
    </w:p>
    <w:p w:rsidR="001C48BB" w:rsidRDefault="001C48BB" w:rsidP="001C48BB">
      <w:pPr>
        <w:pStyle w:val="Default"/>
        <w:rPr>
          <w:rFonts w:asciiTheme="minorHAnsi" w:hAnsiTheme="minorHAnsi"/>
          <w:b/>
        </w:rPr>
      </w:pPr>
    </w:p>
    <w:p w:rsidR="001C48BB" w:rsidRDefault="001C48BB" w:rsidP="007839C2">
      <w:pPr>
        <w:pStyle w:val="Default"/>
        <w:numPr>
          <w:ilvl w:val="0"/>
          <w:numId w:val="7"/>
        </w:numPr>
        <w:ind w:left="527" w:hanging="357"/>
        <w:rPr>
          <w:rFonts w:asciiTheme="minorHAnsi" w:hAnsiTheme="minorHAnsi"/>
          <w:b/>
        </w:rPr>
      </w:pPr>
      <w:r>
        <w:rPr>
          <w:rFonts w:asciiTheme="minorHAnsi" w:hAnsiTheme="minorHAnsi"/>
          <w:b/>
        </w:rPr>
        <w:t>Support for the recruitment and retention of Kimberley residents in the health industry</w:t>
      </w:r>
    </w:p>
    <w:p w:rsidR="001C48BB" w:rsidRDefault="001C48BB" w:rsidP="005A3D68">
      <w:pPr>
        <w:pStyle w:val="Default"/>
        <w:ind w:left="720"/>
        <w:rPr>
          <w:rFonts w:ascii="Calibri" w:hAnsi="Calibri"/>
          <w:bCs/>
          <w:color w:val="000000" w:themeColor="text1"/>
        </w:rPr>
      </w:pPr>
      <w:r w:rsidRPr="009B6BD8">
        <w:rPr>
          <w:rFonts w:asciiTheme="minorHAnsi" w:eastAsia="Calibri" w:hAnsiTheme="minorHAnsi" w:cs="Times New Roman"/>
          <w:color w:val="auto"/>
        </w:rPr>
        <w:t>Health is a major employer in the Kimberley.</w:t>
      </w:r>
      <w:r>
        <w:rPr>
          <w:rFonts w:asciiTheme="minorHAnsi" w:eastAsia="Calibri" w:hAnsiTheme="minorHAnsi" w:cs="Times New Roman"/>
          <w:b/>
          <w:color w:val="auto"/>
        </w:rPr>
        <w:t xml:space="preserve">  </w:t>
      </w:r>
      <w:r w:rsidRPr="00C8696E">
        <w:rPr>
          <w:rFonts w:ascii="Calibri" w:hAnsi="Calibri"/>
          <w:bCs/>
          <w:color w:val="000000" w:themeColor="text1"/>
        </w:rPr>
        <w:t>WACHS employs 1250+ people in the Kimberley</w:t>
      </w:r>
      <w:r>
        <w:rPr>
          <w:rFonts w:ascii="Calibri" w:hAnsi="Calibri"/>
          <w:bCs/>
          <w:color w:val="000000" w:themeColor="text1"/>
        </w:rPr>
        <w:t xml:space="preserve">, </w:t>
      </w:r>
      <w:r w:rsidRPr="00CA3FBD">
        <w:rPr>
          <w:rFonts w:ascii="Calibri" w:hAnsi="Calibri"/>
          <w:bCs/>
          <w:color w:val="000000" w:themeColor="text1"/>
        </w:rPr>
        <w:t xml:space="preserve">the ACCHO sector approximately </w:t>
      </w:r>
      <w:r w:rsidR="00CA3FBD" w:rsidRPr="00CA3FBD">
        <w:rPr>
          <w:rFonts w:ascii="Calibri" w:hAnsi="Calibri"/>
          <w:bCs/>
          <w:color w:val="000000" w:themeColor="text1"/>
        </w:rPr>
        <w:t xml:space="preserve">500. </w:t>
      </w:r>
      <w:r w:rsidRPr="00CA3FBD">
        <w:rPr>
          <w:rFonts w:ascii="Calibri" w:hAnsi="Calibri"/>
          <w:bCs/>
          <w:color w:val="000000" w:themeColor="text1"/>
        </w:rPr>
        <w:t xml:space="preserve"> WACHS have evaluated their recruitment and identified a need for entry-level workers.  A pilot programme that prepares entry-level workers for employment in WACHS has been successfully trialled in Broome.  Due to the high turnover of staff, such programmes require annual funding to generate real change.</w:t>
      </w:r>
    </w:p>
    <w:p w:rsidR="001C48BB" w:rsidRDefault="001C48BB" w:rsidP="001C48BB">
      <w:pPr>
        <w:pStyle w:val="Default"/>
        <w:rPr>
          <w:rFonts w:ascii="Calibri" w:hAnsi="Calibri"/>
          <w:bCs/>
          <w:color w:val="000000" w:themeColor="text1"/>
        </w:rPr>
      </w:pPr>
    </w:p>
    <w:p w:rsidR="002C2819" w:rsidRPr="001859CE" w:rsidRDefault="001C48BB" w:rsidP="005A3D68">
      <w:pPr>
        <w:pStyle w:val="ListParagraph"/>
        <w:rPr>
          <w:rFonts w:asciiTheme="minorHAnsi" w:hAnsiTheme="minorHAnsi"/>
        </w:rPr>
      </w:pPr>
      <w:r w:rsidRPr="00060FF0">
        <w:rPr>
          <w:rFonts w:ascii="Calibri" w:hAnsi="Calibri"/>
          <w:bCs/>
          <w:color w:val="000000" w:themeColor="text1"/>
        </w:rPr>
        <w:t xml:space="preserve">Similarly KAHPF has identified the crucial need to recruit more Aboriginal men into the health </w:t>
      </w:r>
      <w:r w:rsidR="00CA7ED0" w:rsidRPr="00060FF0">
        <w:rPr>
          <w:rFonts w:ascii="Calibri" w:hAnsi="Calibri"/>
          <w:bCs/>
          <w:color w:val="000000" w:themeColor="text1"/>
        </w:rPr>
        <w:t>sector</w:t>
      </w:r>
      <w:r w:rsidR="002C2819" w:rsidRPr="00060FF0">
        <w:rPr>
          <w:rFonts w:ascii="Calibri" w:hAnsi="Calibri"/>
          <w:bCs/>
          <w:color w:val="000000" w:themeColor="text1"/>
        </w:rPr>
        <w:t xml:space="preserve">.  </w:t>
      </w:r>
      <w:r w:rsidR="002C2819" w:rsidRPr="00060FF0">
        <w:rPr>
          <w:rFonts w:asciiTheme="minorHAnsi" w:hAnsiTheme="minorHAnsi"/>
        </w:rPr>
        <w:t>Anecdotal</w:t>
      </w:r>
      <w:r w:rsidR="002C2819" w:rsidRPr="001859CE">
        <w:rPr>
          <w:rFonts w:asciiTheme="minorHAnsi" w:hAnsiTheme="minorHAnsi"/>
        </w:rPr>
        <w:t xml:space="preserve"> evidence from across the Kimberley supports research findings from elsewhere which emphasise that:</w:t>
      </w:r>
    </w:p>
    <w:p w:rsidR="002C2819" w:rsidRPr="001859CE" w:rsidRDefault="002C2819" w:rsidP="002C2819">
      <w:pPr>
        <w:pStyle w:val="ListParagraph"/>
        <w:numPr>
          <w:ilvl w:val="0"/>
          <w:numId w:val="12"/>
        </w:numPr>
        <w:rPr>
          <w:rFonts w:asciiTheme="minorHAnsi" w:hAnsiTheme="minorHAnsi"/>
        </w:rPr>
      </w:pPr>
      <w:r w:rsidRPr="001859CE">
        <w:rPr>
          <w:rFonts w:asciiTheme="minorHAnsi" w:hAnsiTheme="minorHAnsi"/>
        </w:rPr>
        <w:t>Men are not comfortable presenting at health services</w:t>
      </w:r>
    </w:p>
    <w:p w:rsidR="002C2819" w:rsidRPr="001859CE" w:rsidRDefault="002C2819" w:rsidP="002C2819">
      <w:pPr>
        <w:pStyle w:val="ListParagraph"/>
        <w:numPr>
          <w:ilvl w:val="0"/>
          <w:numId w:val="12"/>
        </w:numPr>
        <w:rPr>
          <w:rFonts w:asciiTheme="minorHAnsi" w:hAnsiTheme="minorHAnsi"/>
        </w:rPr>
      </w:pPr>
      <w:r w:rsidRPr="001859CE">
        <w:rPr>
          <w:rFonts w:asciiTheme="minorHAnsi" w:hAnsiTheme="minorHAnsi"/>
        </w:rPr>
        <w:t>Men are not comfortable talking about their personal situation or feelings until a good deal of time has been spent on trust-building activities</w:t>
      </w:r>
    </w:p>
    <w:p w:rsidR="002C2819" w:rsidRPr="001859CE" w:rsidRDefault="002C2819" w:rsidP="002C2819">
      <w:pPr>
        <w:pStyle w:val="ListParagraph"/>
        <w:numPr>
          <w:ilvl w:val="0"/>
          <w:numId w:val="12"/>
        </w:numPr>
        <w:rPr>
          <w:rFonts w:asciiTheme="minorHAnsi" w:hAnsiTheme="minorHAnsi"/>
        </w:rPr>
      </w:pPr>
      <w:r w:rsidRPr="001859CE">
        <w:rPr>
          <w:rFonts w:asciiTheme="minorHAnsi" w:hAnsiTheme="minorHAnsi"/>
        </w:rPr>
        <w:t>Men are unlikely to follow up on referrals without a good deal of support and encouragement to do so</w:t>
      </w:r>
    </w:p>
    <w:p w:rsidR="002C2819" w:rsidRPr="001859CE" w:rsidRDefault="002C2819" w:rsidP="002C2819">
      <w:pPr>
        <w:pStyle w:val="ListParagraph"/>
        <w:numPr>
          <w:ilvl w:val="0"/>
          <w:numId w:val="12"/>
        </w:numPr>
        <w:rPr>
          <w:rFonts w:asciiTheme="minorHAnsi" w:hAnsiTheme="minorHAnsi"/>
        </w:rPr>
      </w:pPr>
      <w:r w:rsidRPr="001859CE">
        <w:rPr>
          <w:rFonts w:asciiTheme="minorHAnsi" w:hAnsiTheme="minorHAnsi"/>
        </w:rPr>
        <w:t>Men do not respond well to interventions by female workers.</w:t>
      </w:r>
    </w:p>
    <w:p w:rsidR="002C2819" w:rsidRDefault="002C2819" w:rsidP="005A3D68">
      <w:pPr>
        <w:ind w:left="720"/>
        <w:jc w:val="left"/>
        <w:rPr>
          <w:sz w:val="24"/>
          <w:szCs w:val="24"/>
        </w:rPr>
      </w:pPr>
      <w:r w:rsidRPr="002C2819">
        <w:rPr>
          <w:sz w:val="24"/>
          <w:szCs w:val="24"/>
        </w:rPr>
        <w:t xml:space="preserve">There is therefore a need for much greater investment in providing services and programmes which operate in ways that men respond positively to and the development of a strategy to employ more Aboriginal males in </w:t>
      </w:r>
      <w:r>
        <w:rPr>
          <w:sz w:val="24"/>
          <w:szCs w:val="24"/>
        </w:rPr>
        <w:t>health services.</w:t>
      </w:r>
    </w:p>
    <w:p w:rsidR="00E87CAD" w:rsidRDefault="00E87CAD" w:rsidP="00E87CAD">
      <w:pPr>
        <w:autoSpaceDE w:val="0"/>
        <w:autoSpaceDN w:val="0"/>
        <w:adjustRightInd w:val="0"/>
        <w:jc w:val="left"/>
        <w:rPr>
          <w:rFonts w:ascii="Interstate-LightCondensed" w:hAnsi="Interstate-LightCondensed" w:cs="Interstate-LightCondensed"/>
          <w:lang w:val="en-AU"/>
        </w:rPr>
      </w:pPr>
    </w:p>
    <w:p w:rsidR="00E87CAD" w:rsidRPr="005A3D68" w:rsidRDefault="00E87CAD" w:rsidP="005A3D68">
      <w:pPr>
        <w:pStyle w:val="ListParagraph"/>
        <w:numPr>
          <w:ilvl w:val="0"/>
          <w:numId w:val="31"/>
        </w:numPr>
        <w:autoSpaceDE w:val="0"/>
        <w:autoSpaceDN w:val="0"/>
        <w:adjustRightInd w:val="0"/>
        <w:rPr>
          <w:rFonts w:asciiTheme="minorHAnsi" w:hAnsiTheme="minorHAnsi" w:cs="Interstate-LightCondensed"/>
          <w:b/>
        </w:rPr>
      </w:pPr>
      <w:r w:rsidRPr="005A3D68">
        <w:rPr>
          <w:rFonts w:cs="Interstate-LightCondensed"/>
          <w:b/>
        </w:rPr>
        <w:t xml:space="preserve"> </w:t>
      </w:r>
      <w:r w:rsidRPr="005A3D68">
        <w:rPr>
          <w:rFonts w:asciiTheme="minorHAnsi" w:hAnsiTheme="minorHAnsi" w:cs="Interstate-LightCondensed"/>
          <w:b/>
        </w:rPr>
        <w:t>Embark upon fundamental regional housing policy reform.</w:t>
      </w:r>
    </w:p>
    <w:p w:rsidR="00572C93" w:rsidRDefault="00E87CAD" w:rsidP="00060FF0">
      <w:pPr>
        <w:autoSpaceDE w:val="0"/>
        <w:autoSpaceDN w:val="0"/>
        <w:adjustRightInd w:val="0"/>
        <w:ind w:left="720"/>
        <w:jc w:val="left"/>
        <w:rPr>
          <w:rFonts w:cs="Interstate-LightCondensed"/>
          <w:sz w:val="24"/>
          <w:szCs w:val="24"/>
          <w:lang w:val="en-AU"/>
        </w:rPr>
      </w:pPr>
      <w:r w:rsidRPr="00E87CAD">
        <w:rPr>
          <w:rFonts w:cs="Interstate-LightCondensed"/>
          <w:sz w:val="24"/>
          <w:szCs w:val="24"/>
          <w:lang w:val="en-AU"/>
        </w:rPr>
        <w:t xml:space="preserve">Overcrowding in remote communities has a significant impact on health and wellbeing outcomes.   In consultation with local communities, measures need to be explored that will address the issues of land supply, housing design and maintenance, affordable housing and housing support. </w:t>
      </w:r>
    </w:p>
    <w:p w:rsidR="00B64709" w:rsidRDefault="00B64709" w:rsidP="00654EAE">
      <w:pPr>
        <w:jc w:val="both"/>
        <w:rPr>
          <w:rFonts w:cs="TTE2228400t00"/>
          <w:sz w:val="24"/>
          <w:szCs w:val="24"/>
          <w:lang w:eastAsia="en-AU"/>
        </w:rPr>
        <w:sectPr w:rsidR="00B64709" w:rsidSect="0006719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3" w:footer="283" w:gutter="0"/>
          <w:cols w:space="708"/>
          <w:docGrid w:linePitch="360"/>
        </w:sectPr>
      </w:pPr>
    </w:p>
    <w:p w:rsidR="00275E0E" w:rsidRPr="00275E0E" w:rsidRDefault="00275E0E" w:rsidP="00275E0E">
      <w:pPr>
        <w:jc w:val="left"/>
        <w:rPr>
          <w:b/>
          <w:sz w:val="24"/>
          <w:szCs w:val="24"/>
        </w:rPr>
      </w:pPr>
      <w:r>
        <w:rPr>
          <w:b/>
          <w:sz w:val="24"/>
          <w:szCs w:val="24"/>
        </w:rPr>
        <w:lastRenderedPageBreak/>
        <w:t xml:space="preserve">Appendix 1:  </w:t>
      </w:r>
      <w:r w:rsidRPr="00275E0E">
        <w:rPr>
          <w:b/>
          <w:sz w:val="24"/>
          <w:szCs w:val="24"/>
        </w:rPr>
        <w:t>Primary Health Care Service Provider for Remote</w:t>
      </w:r>
      <w:r>
        <w:rPr>
          <w:b/>
          <w:sz w:val="24"/>
          <w:szCs w:val="24"/>
        </w:rPr>
        <w:t xml:space="preserve"> Kimberley</w:t>
      </w:r>
      <w:r w:rsidRPr="00275E0E">
        <w:rPr>
          <w:b/>
          <w:sz w:val="24"/>
          <w:szCs w:val="24"/>
        </w:rPr>
        <w:t xml:space="preserve"> Communities</w:t>
      </w:r>
    </w:p>
    <w:p w:rsidR="00275E0E" w:rsidRPr="0010037B" w:rsidRDefault="00275E0E" w:rsidP="00275E0E">
      <w:pPr>
        <w:jc w:val="left"/>
        <w:rPr>
          <w:sz w:val="24"/>
          <w:szCs w:val="24"/>
        </w:rPr>
      </w:pPr>
    </w:p>
    <w:p w:rsidR="00275E0E" w:rsidRPr="00275E0E" w:rsidRDefault="00275E0E" w:rsidP="00275E0E">
      <w:pPr>
        <w:jc w:val="left"/>
        <w:rPr>
          <w:b/>
          <w:sz w:val="24"/>
          <w:szCs w:val="24"/>
        </w:rPr>
      </w:pPr>
      <w:r w:rsidRPr="00275E0E">
        <w:rPr>
          <w:b/>
          <w:sz w:val="24"/>
          <w:szCs w:val="24"/>
        </w:rPr>
        <w:t xml:space="preserve">                    </w:t>
      </w:r>
      <w:r>
        <w:rPr>
          <w:b/>
          <w:sz w:val="24"/>
          <w:szCs w:val="24"/>
        </w:rPr>
        <w:t xml:space="preserve">  </w:t>
      </w:r>
      <w:r w:rsidRPr="00275E0E">
        <w:rPr>
          <w:b/>
          <w:sz w:val="24"/>
          <w:szCs w:val="24"/>
        </w:rPr>
        <w:t xml:space="preserve"> EAST KIMBERLEY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275E0E">
        <w:rPr>
          <w:b/>
          <w:sz w:val="24"/>
          <w:szCs w:val="24"/>
        </w:rPr>
        <w:t>CENTRAL KIMBERLEY</w:t>
      </w:r>
      <w:r w:rsidRPr="00275E0E">
        <w:rPr>
          <w:b/>
          <w:sz w:val="24"/>
          <w:szCs w:val="24"/>
        </w:rPr>
        <w:tab/>
      </w:r>
      <w:r w:rsidRPr="00275E0E">
        <w:rPr>
          <w:b/>
          <w:sz w:val="24"/>
          <w:szCs w:val="24"/>
        </w:rPr>
        <w:tab/>
      </w:r>
      <w:r w:rsidRPr="00275E0E">
        <w:rPr>
          <w:b/>
          <w:sz w:val="24"/>
          <w:szCs w:val="24"/>
        </w:rPr>
        <w:tab/>
      </w:r>
      <w:r w:rsidRPr="00275E0E">
        <w:rPr>
          <w:b/>
          <w:sz w:val="24"/>
          <w:szCs w:val="24"/>
        </w:rPr>
        <w:tab/>
      </w:r>
      <w:r>
        <w:rPr>
          <w:b/>
          <w:sz w:val="24"/>
          <w:szCs w:val="24"/>
        </w:rPr>
        <w:t xml:space="preserve">           </w:t>
      </w:r>
      <w:r w:rsidRPr="00275E0E">
        <w:rPr>
          <w:b/>
          <w:sz w:val="24"/>
          <w:szCs w:val="24"/>
        </w:rPr>
        <w:t>WEST KIMBERLEY</w:t>
      </w:r>
    </w:p>
    <w:p w:rsidR="00275E0E" w:rsidRPr="00275E0E" w:rsidRDefault="00275E0E" w:rsidP="00275E0E">
      <w:pPr>
        <w:jc w:val="left"/>
        <w:rPr>
          <w:sz w:val="24"/>
          <w:szCs w:val="24"/>
        </w:rPr>
      </w:pPr>
    </w:p>
    <w:tbl>
      <w:tblPr>
        <w:tblStyle w:val="TableGrid"/>
        <w:tblW w:w="0" w:type="auto"/>
        <w:tblInd w:w="0" w:type="dxa"/>
        <w:tblLook w:val="04A0" w:firstRow="1" w:lastRow="0" w:firstColumn="1" w:lastColumn="0" w:noHBand="0" w:noVBand="1"/>
      </w:tblPr>
      <w:tblGrid>
        <w:gridCol w:w="1696"/>
        <w:gridCol w:w="1190"/>
        <w:gridCol w:w="1504"/>
        <w:gridCol w:w="425"/>
        <w:gridCol w:w="1701"/>
        <w:gridCol w:w="1559"/>
        <w:gridCol w:w="1468"/>
        <w:gridCol w:w="394"/>
        <w:gridCol w:w="1965"/>
        <w:gridCol w:w="1143"/>
        <w:gridCol w:w="1515"/>
      </w:tblGrid>
      <w:tr w:rsidR="00275E0E" w:rsidRPr="00275E0E" w:rsidTr="00F267EF">
        <w:tc>
          <w:tcPr>
            <w:tcW w:w="1696"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Community</w:t>
            </w:r>
          </w:p>
        </w:tc>
        <w:tc>
          <w:tcPr>
            <w:tcW w:w="1190"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Provider</w:t>
            </w:r>
          </w:p>
        </w:tc>
        <w:tc>
          <w:tcPr>
            <w:tcW w:w="1504"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Resident (R)</w:t>
            </w:r>
          </w:p>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Visiting (V)</w:t>
            </w:r>
          </w:p>
        </w:tc>
        <w:tc>
          <w:tcPr>
            <w:tcW w:w="425" w:type="dxa"/>
            <w:shd w:val="clear" w:color="auto" w:fill="C5E0B3" w:themeFill="accent6" w:themeFillTint="66"/>
          </w:tcPr>
          <w:p w:rsidR="00275E0E" w:rsidRPr="00275E0E" w:rsidRDefault="00275E0E" w:rsidP="003D1E65">
            <w:pPr>
              <w:jc w:val="center"/>
              <w:rPr>
                <w:rFonts w:asciiTheme="minorHAnsi" w:hAnsiTheme="minorHAnsi"/>
                <w:b/>
                <w:sz w:val="24"/>
                <w:szCs w:val="24"/>
              </w:rPr>
            </w:pPr>
          </w:p>
        </w:tc>
        <w:tc>
          <w:tcPr>
            <w:tcW w:w="1701"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Community</w:t>
            </w:r>
          </w:p>
        </w:tc>
        <w:tc>
          <w:tcPr>
            <w:tcW w:w="1559"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Provider</w:t>
            </w:r>
          </w:p>
        </w:tc>
        <w:tc>
          <w:tcPr>
            <w:tcW w:w="1468"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Resident (R)</w:t>
            </w:r>
          </w:p>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Visiting (V)</w:t>
            </w:r>
          </w:p>
        </w:tc>
        <w:tc>
          <w:tcPr>
            <w:tcW w:w="394" w:type="dxa"/>
            <w:shd w:val="clear" w:color="auto" w:fill="C5E0B3" w:themeFill="accent6" w:themeFillTint="66"/>
          </w:tcPr>
          <w:p w:rsidR="00275E0E" w:rsidRPr="00275E0E" w:rsidRDefault="00275E0E" w:rsidP="003D1E65">
            <w:pPr>
              <w:jc w:val="center"/>
              <w:rPr>
                <w:rFonts w:asciiTheme="minorHAnsi" w:hAnsiTheme="minorHAnsi"/>
                <w:b/>
                <w:sz w:val="24"/>
                <w:szCs w:val="24"/>
              </w:rPr>
            </w:pPr>
          </w:p>
        </w:tc>
        <w:tc>
          <w:tcPr>
            <w:tcW w:w="1965"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Community</w:t>
            </w:r>
          </w:p>
        </w:tc>
        <w:tc>
          <w:tcPr>
            <w:tcW w:w="1143" w:type="dxa"/>
            <w:shd w:val="clear" w:color="auto" w:fill="C5E0B3" w:themeFill="accent6" w:themeFillTint="66"/>
          </w:tcPr>
          <w:p w:rsidR="00275E0E" w:rsidRPr="00275E0E" w:rsidRDefault="00275E0E" w:rsidP="00275E0E">
            <w:pPr>
              <w:jc w:val="center"/>
              <w:rPr>
                <w:rFonts w:asciiTheme="minorHAnsi" w:hAnsiTheme="minorHAnsi"/>
                <w:b/>
                <w:sz w:val="24"/>
                <w:szCs w:val="24"/>
              </w:rPr>
            </w:pPr>
            <w:r w:rsidRPr="00275E0E">
              <w:rPr>
                <w:rFonts w:asciiTheme="minorHAnsi" w:hAnsiTheme="minorHAnsi"/>
                <w:b/>
                <w:sz w:val="24"/>
                <w:szCs w:val="24"/>
              </w:rPr>
              <w:t>Provider</w:t>
            </w:r>
          </w:p>
        </w:tc>
        <w:tc>
          <w:tcPr>
            <w:tcW w:w="1515" w:type="dxa"/>
            <w:shd w:val="clear" w:color="auto" w:fill="C5E0B3" w:themeFill="accent6" w:themeFillTint="66"/>
          </w:tcPr>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Resident (R)</w:t>
            </w:r>
          </w:p>
          <w:p w:rsidR="00275E0E" w:rsidRPr="00275E0E" w:rsidRDefault="00275E0E" w:rsidP="003D1E65">
            <w:pPr>
              <w:jc w:val="center"/>
              <w:rPr>
                <w:rFonts w:asciiTheme="minorHAnsi" w:hAnsiTheme="minorHAnsi"/>
                <w:b/>
                <w:sz w:val="24"/>
                <w:szCs w:val="24"/>
              </w:rPr>
            </w:pPr>
            <w:r w:rsidRPr="00275E0E">
              <w:rPr>
                <w:rFonts w:asciiTheme="minorHAnsi" w:hAnsiTheme="minorHAnsi"/>
                <w:b/>
                <w:sz w:val="24"/>
                <w:szCs w:val="24"/>
              </w:rPr>
              <w:t>Visiting (V)</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Kalumburu</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Yiyili</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Mowanjum</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V</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Doon Doon</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OVAHS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Moongardi</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Bidyadanga</w:t>
            </w:r>
          </w:p>
        </w:tc>
        <w:tc>
          <w:tcPr>
            <w:tcW w:w="1143"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KAMS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Glen Hill </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OVAHS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Wangatjunka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Beagle Bay</w:t>
            </w:r>
          </w:p>
        </w:tc>
        <w:tc>
          <w:tcPr>
            <w:tcW w:w="1143"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KAMS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Warmun</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Yakananara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RFDS</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One Arm Point</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Duncan Hwy communities </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OVAHS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Milligidee/</w:t>
            </w:r>
          </w:p>
          <w:p w:rsidR="00F267EF" w:rsidRPr="00275E0E" w:rsidRDefault="00F267EF" w:rsidP="00F267EF">
            <w:pPr>
              <w:rPr>
                <w:rFonts w:asciiTheme="minorHAnsi" w:hAnsiTheme="minorHAnsi"/>
                <w:sz w:val="24"/>
                <w:szCs w:val="24"/>
              </w:rPr>
            </w:pPr>
            <w:r w:rsidRPr="00275E0E">
              <w:rPr>
                <w:rFonts w:asciiTheme="minorHAnsi" w:hAnsiTheme="minorHAnsi"/>
                <w:sz w:val="24"/>
                <w:szCs w:val="24"/>
              </w:rPr>
              <w:t>Kajina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RFDS</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Djarindjin/</w:t>
            </w:r>
          </w:p>
          <w:p w:rsidR="00F267EF" w:rsidRPr="00275E0E" w:rsidRDefault="00F267EF" w:rsidP="00F267EF">
            <w:pPr>
              <w:rPr>
                <w:rFonts w:asciiTheme="minorHAnsi" w:hAnsiTheme="minorHAnsi"/>
                <w:sz w:val="24"/>
                <w:szCs w:val="24"/>
              </w:rPr>
            </w:pPr>
            <w:r w:rsidRPr="00275E0E">
              <w:rPr>
                <w:rFonts w:asciiTheme="minorHAnsi" w:hAnsiTheme="minorHAnsi"/>
                <w:sz w:val="24"/>
                <w:szCs w:val="24"/>
              </w:rPr>
              <w:t>Lombardina</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Pr>
                <w:rFonts w:asciiTheme="minorHAnsi" w:hAnsiTheme="minorHAnsi"/>
                <w:sz w:val="24"/>
                <w:szCs w:val="24"/>
              </w:rPr>
              <w:t>Keep River communities</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OVAHS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Noonkanbah/</w:t>
            </w:r>
          </w:p>
          <w:p w:rsidR="00F267EF" w:rsidRPr="00275E0E" w:rsidRDefault="00F267EF" w:rsidP="00F267EF">
            <w:pPr>
              <w:rPr>
                <w:rFonts w:asciiTheme="minorHAnsi" w:hAnsiTheme="minorHAnsi"/>
                <w:sz w:val="24"/>
                <w:szCs w:val="24"/>
              </w:rPr>
            </w:pPr>
            <w:r w:rsidRPr="00275E0E">
              <w:rPr>
                <w:rFonts w:asciiTheme="minorHAnsi" w:hAnsiTheme="minorHAnsi"/>
                <w:sz w:val="24"/>
                <w:szCs w:val="24"/>
              </w:rPr>
              <w:t>Yungnora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KPHU/RFDS</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Pr>
                <w:rFonts w:asciiTheme="minorHAnsi" w:hAnsiTheme="minorHAnsi"/>
                <w:sz w:val="24"/>
                <w:szCs w:val="24"/>
              </w:rPr>
              <w:t xml:space="preserve">Pandanus Park </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Crocodile Hole </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Muludja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Looma</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Balgo </w:t>
            </w:r>
          </w:p>
        </w:tc>
        <w:tc>
          <w:tcPr>
            <w:tcW w:w="1190"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KAMS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Djugerari</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RFDS</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Jarlmadangah</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Mulan (Mindibungu)</w:t>
            </w:r>
          </w:p>
        </w:tc>
        <w:tc>
          <w:tcPr>
            <w:tcW w:w="1190"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KAMS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Koorabaye/</w:t>
            </w:r>
          </w:p>
          <w:p w:rsidR="00F267EF" w:rsidRPr="00275E0E" w:rsidRDefault="00F267EF" w:rsidP="00F267EF">
            <w:pPr>
              <w:rPr>
                <w:rFonts w:asciiTheme="minorHAnsi" w:hAnsiTheme="minorHAnsi"/>
                <w:sz w:val="24"/>
                <w:szCs w:val="24"/>
              </w:rPr>
            </w:pPr>
            <w:r w:rsidRPr="00275E0E">
              <w:rPr>
                <w:rFonts w:asciiTheme="minorHAnsi" w:hAnsiTheme="minorHAnsi"/>
                <w:sz w:val="24"/>
                <w:szCs w:val="24"/>
              </w:rPr>
              <w:t>Ngalapita</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RFDS</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Imintji</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V</w:t>
            </w:r>
          </w:p>
        </w:tc>
      </w:tr>
      <w:tr w:rsidR="00F267EF" w:rsidRPr="00275E0E" w:rsidTr="00F267EF">
        <w:tc>
          <w:tcPr>
            <w:tcW w:w="1696" w:type="dxa"/>
          </w:tcPr>
          <w:p w:rsidR="00F267EF" w:rsidRPr="00275E0E" w:rsidRDefault="00F267EF" w:rsidP="00F267EF">
            <w:pPr>
              <w:rPr>
                <w:rFonts w:asciiTheme="minorHAnsi" w:hAnsiTheme="minorHAnsi"/>
                <w:sz w:val="24"/>
                <w:szCs w:val="24"/>
              </w:rPr>
            </w:pPr>
            <w:r>
              <w:rPr>
                <w:rFonts w:asciiTheme="minorHAnsi" w:hAnsiTheme="minorHAnsi"/>
                <w:sz w:val="24"/>
                <w:szCs w:val="24"/>
              </w:rPr>
              <w:t>Ringers Soak</w:t>
            </w:r>
          </w:p>
        </w:tc>
        <w:tc>
          <w:tcPr>
            <w:tcW w:w="1190"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YYMS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r>
              <w:rPr>
                <w:rFonts w:asciiTheme="minorHAnsi" w:hAnsiTheme="minorHAnsi"/>
                <w:sz w:val="24"/>
                <w:szCs w:val="24"/>
              </w:rPr>
              <w:t>Bayulu</w:t>
            </w:r>
          </w:p>
        </w:tc>
        <w:tc>
          <w:tcPr>
            <w:tcW w:w="1559"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KPHU</w:t>
            </w:r>
          </w:p>
        </w:tc>
        <w:tc>
          <w:tcPr>
            <w:tcW w:w="1468"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V</w:t>
            </w: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Ngallagunda</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Billiluna </w:t>
            </w:r>
          </w:p>
        </w:tc>
        <w:tc>
          <w:tcPr>
            <w:tcW w:w="1190"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KAMS</w:t>
            </w:r>
          </w:p>
        </w:tc>
        <w:tc>
          <w:tcPr>
            <w:tcW w:w="1504"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R</w:t>
            </w: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p>
        </w:tc>
        <w:tc>
          <w:tcPr>
            <w:tcW w:w="1559" w:type="dxa"/>
          </w:tcPr>
          <w:p w:rsidR="00F267EF" w:rsidRPr="00275E0E" w:rsidRDefault="00F267EF" w:rsidP="00F267EF">
            <w:pPr>
              <w:jc w:val="center"/>
              <w:rPr>
                <w:rFonts w:asciiTheme="minorHAnsi" w:hAnsiTheme="minorHAnsi"/>
                <w:sz w:val="24"/>
                <w:szCs w:val="24"/>
              </w:rPr>
            </w:pPr>
          </w:p>
        </w:tc>
        <w:tc>
          <w:tcPr>
            <w:tcW w:w="1468" w:type="dxa"/>
          </w:tcPr>
          <w:p w:rsidR="00F267EF" w:rsidRPr="00275E0E" w:rsidRDefault="00F267EF" w:rsidP="00F267EF">
            <w:pPr>
              <w:jc w:val="center"/>
              <w:rPr>
                <w:rFonts w:asciiTheme="minorHAnsi" w:hAnsiTheme="minorHAnsi"/>
                <w:sz w:val="24"/>
                <w:szCs w:val="24"/>
              </w:rPr>
            </w:pP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Dodnun</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V</w:t>
            </w:r>
          </w:p>
        </w:tc>
      </w:tr>
      <w:tr w:rsidR="00F267EF" w:rsidRPr="00275E0E" w:rsidTr="00F267EF">
        <w:tc>
          <w:tcPr>
            <w:tcW w:w="1696" w:type="dxa"/>
          </w:tcPr>
          <w:p w:rsidR="00F267EF" w:rsidRPr="00275E0E" w:rsidRDefault="00F267EF" w:rsidP="00F267EF">
            <w:pPr>
              <w:rPr>
                <w:rFonts w:asciiTheme="minorHAnsi" w:hAnsiTheme="minorHAnsi"/>
                <w:sz w:val="24"/>
                <w:szCs w:val="24"/>
              </w:rPr>
            </w:pPr>
          </w:p>
        </w:tc>
        <w:tc>
          <w:tcPr>
            <w:tcW w:w="1190" w:type="dxa"/>
          </w:tcPr>
          <w:p w:rsidR="00F267EF" w:rsidRPr="00275E0E" w:rsidRDefault="00F267EF" w:rsidP="00F267EF">
            <w:pPr>
              <w:jc w:val="center"/>
              <w:rPr>
                <w:rFonts w:asciiTheme="minorHAnsi" w:hAnsiTheme="minorHAnsi"/>
                <w:sz w:val="24"/>
                <w:szCs w:val="24"/>
              </w:rPr>
            </w:pPr>
          </w:p>
        </w:tc>
        <w:tc>
          <w:tcPr>
            <w:tcW w:w="1504" w:type="dxa"/>
          </w:tcPr>
          <w:p w:rsidR="00F267EF" w:rsidRPr="00275E0E" w:rsidRDefault="00F267EF" w:rsidP="00F267EF">
            <w:pPr>
              <w:jc w:val="center"/>
              <w:rPr>
                <w:rFonts w:asciiTheme="minorHAnsi" w:hAnsiTheme="minorHAnsi"/>
                <w:sz w:val="24"/>
                <w:szCs w:val="24"/>
              </w:rPr>
            </w:pPr>
          </w:p>
        </w:tc>
        <w:tc>
          <w:tcPr>
            <w:tcW w:w="425"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701" w:type="dxa"/>
          </w:tcPr>
          <w:p w:rsidR="00F267EF" w:rsidRPr="00275E0E" w:rsidRDefault="00F267EF" w:rsidP="00F267EF">
            <w:pPr>
              <w:rPr>
                <w:rFonts w:asciiTheme="minorHAnsi" w:hAnsiTheme="minorHAnsi"/>
                <w:sz w:val="24"/>
                <w:szCs w:val="24"/>
              </w:rPr>
            </w:pPr>
          </w:p>
        </w:tc>
        <w:tc>
          <w:tcPr>
            <w:tcW w:w="1559" w:type="dxa"/>
          </w:tcPr>
          <w:p w:rsidR="00F267EF" w:rsidRPr="00275E0E" w:rsidRDefault="00F267EF" w:rsidP="00F267EF">
            <w:pPr>
              <w:jc w:val="center"/>
              <w:rPr>
                <w:rFonts w:asciiTheme="minorHAnsi" w:hAnsiTheme="minorHAnsi"/>
                <w:sz w:val="24"/>
                <w:szCs w:val="24"/>
              </w:rPr>
            </w:pPr>
          </w:p>
        </w:tc>
        <w:tc>
          <w:tcPr>
            <w:tcW w:w="1468" w:type="dxa"/>
          </w:tcPr>
          <w:p w:rsidR="00F267EF" w:rsidRPr="00275E0E" w:rsidRDefault="00F267EF" w:rsidP="00F267EF">
            <w:pPr>
              <w:jc w:val="center"/>
              <w:rPr>
                <w:rFonts w:asciiTheme="minorHAnsi" w:hAnsiTheme="minorHAnsi"/>
                <w:sz w:val="24"/>
                <w:szCs w:val="24"/>
              </w:rPr>
            </w:pPr>
          </w:p>
        </w:tc>
        <w:tc>
          <w:tcPr>
            <w:tcW w:w="394" w:type="dxa"/>
            <w:shd w:val="clear" w:color="auto" w:fill="C5E0B3" w:themeFill="accent6" w:themeFillTint="66"/>
          </w:tcPr>
          <w:p w:rsidR="00F267EF" w:rsidRPr="00275E0E" w:rsidRDefault="00F267EF" w:rsidP="00F267EF">
            <w:pPr>
              <w:rPr>
                <w:rFonts w:asciiTheme="minorHAnsi" w:hAnsiTheme="minorHAnsi"/>
                <w:sz w:val="24"/>
                <w:szCs w:val="24"/>
              </w:rPr>
            </w:pPr>
          </w:p>
        </w:tc>
        <w:tc>
          <w:tcPr>
            <w:tcW w:w="1965" w:type="dxa"/>
          </w:tcPr>
          <w:p w:rsidR="00F267EF" w:rsidRPr="00275E0E" w:rsidRDefault="00F267EF" w:rsidP="00F267EF">
            <w:pPr>
              <w:rPr>
                <w:rFonts w:asciiTheme="minorHAnsi" w:hAnsiTheme="minorHAnsi"/>
                <w:sz w:val="24"/>
                <w:szCs w:val="24"/>
              </w:rPr>
            </w:pPr>
            <w:r w:rsidRPr="00275E0E">
              <w:rPr>
                <w:rFonts w:asciiTheme="minorHAnsi" w:hAnsiTheme="minorHAnsi"/>
                <w:sz w:val="24"/>
                <w:szCs w:val="24"/>
              </w:rPr>
              <w:t xml:space="preserve">Kupungarri </w:t>
            </w:r>
          </w:p>
        </w:tc>
        <w:tc>
          <w:tcPr>
            <w:tcW w:w="1143" w:type="dxa"/>
          </w:tcPr>
          <w:p w:rsidR="00F267EF" w:rsidRPr="00275E0E" w:rsidRDefault="00F267EF" w:rsidP="00F267EF">
            <w:pPr>
              <w:jc w:val="center"/>
              <w:rPr>
                <w:rFonts w:asciiTheme="minorHAnsi" w:hAnsiTheme="minorHAnsi"/>
                <w:sz w:val="24"/>
                <w:szCs w:val="24"/>
              </w:rPr>
            </w:pPr>
            <w:r>
              <w:rPr>
                <w:rFonts w:asciiTheme="minorHAnsi" w:hAnsiTheme="minorHAnsi"/>
                <w:sz w:val="24"/>
                <w:szCs w:val="24"/>
              </w:rPr>
              <w:t>DAHS</w:t>
            </w:r>
          </w:p>
        </w:tc>
        <w:tc>
          <w:tcPr>
            <w:tcW w:w="1515" w:type="dxa"/>
          </w:tcPr>
          <w:p w:rsidR="00F267EF" w:rsidRPr="00275E0E" w:rsidRDefault="00F267EF" w:rsidP="00F267EF">
            <w:pPr>
              <w:jc w:val="center"/>
              <w:rPr>
                <w:rFonts w:asciiTheme="minorHAnsi" w:hAnsiTheme="minorHAnsi"/>
                <w:sz w:val="24"/>
                <w:szCs w:val="24"/>
              </w:rPr>
            </w:pPr>
            <w:r w:rsidRPr="00275E0E">
              <w:rPr>
                <w:rFonts w:asciiTheme="minorHAnsi" w:hAnsiTheme="minorHAnsi"/>
                <w:sz w:val="24"/>
                <w:szCs w:val="24"/>
              </w:rPr>
              <w:t>R</w:t>
            </w:r>
          </w:p>
        </w:tc>
      </w:tr>
      <w:tr w:rsidR="00F267EF" w:rsidRPr="00275E0E" w:rsidTr="00F267EF">
        <w:tc>
          <w:tcPr>
            <w:tcW w:w="1696" w:type="dxa"/>
          </w:tcPr>
          <w:p w:rsidR="00F267EF" w:rsidRPr="00275E0E" w:rsidRDefault="00F267EF" w:rsidP="00F267EF">
            <w:pPr>
              <w:rPr>
                <w:sz w:val="24"/>
                <w:szCs w:val="24"/>
              </w:rPr>
            </w:pPr>
          </w:p>
        </w:tc>
        <w:tc>
          <w:tcPr>
            <w:tcW w:w="1190" w:type="dxa"/>
          </w:tcPr>
          <w:p w:rsidR="00F267EF" w:rsidRPr="00275E0E" w:rsidRDefault="00F267EF" w:rsidP="00F267EF">
            <w:pPr>
              <w:rPr>
                <w:sz w:val="24"/>
                <w:szCs w:val="24"/>
              </w:rPr>
            </w:pPr>
          </w:p>
        </w:tc>
        <w:tc>
          <w:tcPr>
            <w:tcW w:w="1504" w:type="dxa"/>
          </w:tcPr>
          <w:p w:rsidR="00F267EF" w:rsidRPr="00275E0E" w:rsidRDefault="00F267EF" w:rsidP="00F267EF">
            <w:pPr>
              <w:rPr>
                <w:sz w:val="24"/>
                <w:szCs w:val="24"/>
              </w:rPr>
            </w:pPr>
          </w:p>
        </w:tc>
        <w:tc>
          <w:tcPr>
            <w:tcW w:w="425" w:type="dxa"/>
            <w:shd w:val="clear" w:color="auto" w:fill="C5E0B3" w:themeFill="accent6" w:themeFillTint="66"/>
          </w:tcPr>
          <w:p w:rsidR="00F267EF" w:rsidRPr="00275E0E" w:rsidRDefault="00F267EF" w:rsidP="00F267EF">
            <w:pPr>
              <w:rPr>
                <w:sz w:val="24"/>
                <w:szCs w:val="24"/>
              </w:rPr>
            </w:pPr>
          </w:p>
        </w:tc>
        <w:tc>
          <w:tcPr>
            <w:tcW w:w="1701" w:type="dxa"/>
          </w:tcPr>
          <w:p w:rsidR="00F267EF" w:rsidRPr="00275E0E" w:rsidRDefault="00F267EF" w:rsidP="00F267EF">
            <w:pPr>
              <w:rPr>
                <w:sz w:val="24"/>
                <w:szCs w:val="24"/>
              </w:rPr>
            </w:pPr>
          </w:p>
        </w:tc>
        <w:tc>
          <w:tcPr>
            <w:tcW w:w="1559" w:type="dxa"/>
          </w:tcPr>
          <w:p w:rsidR="00F267EF" w:rsidRPr="00275E0E" w:rsidRDefault="00F267EF" w:rsidP="00F267EF">
            <w:pPr>
              <w:rPr>
                <w:sz w:val="24"/>
                <w:szCs w:val="24"/>
              </w:rPr>
            </w:pPr>
          </w:p>
        </w:tc>
        <w:tc>
          <w:tcPr>
            <w:tcW w:w="1468" w:type="dxa"/>
          </w:tcPr>
          <w:p w:rsidR="00F267EF" w:rsidRPr="00275E0E" w:rsidRDefault="00F267EF" w:rsidP="00F267EF">
            <w:pPr>
              <w:rPr>
                <w:sz w:val="24"/>
                <w:szCs w:val="24"/>
              </w:rPr>
            </w:pPr>
          </w:p>
        </w:tc>
        <w:tc>
          <w:tcPr>
            <w:tcW w:w="394" w:type="dxa"/>
            <w:shd w:val="clear" w:color="auto" w:fill="C5E0B3" w:themeFill="accent6" w:themeFillTint="66"/>
          </w:tcPr>
          <w:p w:rsidR="00F267EF" w:rsidRPr="00275E0E" w:rsidRDefault="00F267EF" w:rsidP="00F267EF">
            <w:pPr>
              <w:rPr>
                <w:sz w:val="24"/>
                <w:szCs w:val="24"/>
              </w:rPr>
            </w:pPr>
          </w:p>
        </w:tc>
        <w:tc>
          <w:tcPr>
            <w:tcW w:w="1965" w:type="dxa"/>
          </w:tcPr>
          <w:p w:rsidR="00F267EF" w:rsidRPr="00F267EF" w:rsidRDefault="00F267EF" w:rsidP="00F267EF">
            <w:pPr>
              <w:rPr>
                <w:rFonts w:asciiTheme="minorHAnsi" w:hAnsiTheme="minorHAnsi"/>
                <w:sz w:val="24"/>
                <w:szCs w:val="24"/>
              </w:rPr>
            </w:pPr>
            <w:r w:rsidRPr="00F267EF">
              <w:rPr>
                <w:rFonts w:asciiTheme="minorHAnsi" w:hAnsiTheme="minorHAnsi"/>
                <w:sz w:val="24"/>
                <w:szCs w:val="24"/>
              </w:rPr>
              <w:t>Other Gibb R</w:t>
            </w:r>
            <w:r>
              <w:rPr>
                <w:rFonts w:asciiTheme="minorHAnsi" w:hAnsiTheme="minorHAnsi"/>
                <w:sz w:val="24"/>
                <w:szCs w:val="24"/>
              </w:rPr>
              <w:t>iver</w:t>
            </w:r>
            <w:r w:rsidRPr="00F267EF">
              <w:rPr>
                <w:rFonts w:asciiTheme="minorHAnsi" w:hAnsiTheme="minorHAnsi"/>
                <w:sz w:val="24"/>
                <w:szCs w:val="24"/>
              </w:rPr>
              <w:t xml:space="preserve"> Rd</w:t>
            </w:r>
            <w:r>
              <w:rPr>
                <w:rFonts w:asciiTheme="minorHAnsi" w:hAnsiTheme="minorHAnsi"/>
                <w:sz w:val="24"/>
                <w:szCs w:val="24"/>
              </w:rPr>
              <w:t>.</w:t>
            </w:r>
            <w:r w:rsidRPr="00F267EF">
              <w:rPr>
                <w:rFonts w:asciiTheme="minorHAnsi" w:hAnsiTheme="minorHAnsi"/>
                <w:sz w:val="24"/>
                <w:szCs w:val="24"/>
              </w:rPr>
              <w:t xml:space="preserve"> communities</w:t>
            </w:r>
          </w:p>
        </w:tc>
        <w:tc>
          <w:tcPr>
            <w:tcW w:w="1143" w:type="dxa"/>
          </w:tcPr>
          <w:p w:rsidR="00F267EF" w:rsidRPr="00F267EF" w:rsidRDefault="00F267EF" w:rsidP="00F267EF">
            <w:pPr>
              <w:jc w:val="center"/>
              <w:rPr>
                <w:rFonts w:asciiTheme="minorHAnsi" w:hAnsiTheme="minorHAnsi"/>
                <w:sz w:val="24"/>
                <w:szCs w:val="24"/>
              </w:rPr>
            </w:pPr>
            <w:r w:rsidRPr="00F267EF">
              <w:rPr>
                <w:rFonts w:asciiTheme="minorHAnsi" w:hAnsiTheme="minorHAnsi"/>
                <w:sz w:val="24"/>
                <w:szCs w:val="24"/>
              </w:rPr>
              <w:t>DAHS</w:t>
            </w:r>
          </w:p>
        </w:tc>
        <w:tc>
          <w:tcPr>
            <w:tcW w:w="1515" w:type="dxa"/>
          </w:tcPr>
          <w:p w:rsidR="00F267EF" w:rsidRPr="00F267EF" w:rsidRDefault="00F267EF" w:rsidP="00F267EF">
            <w:pPr>
              <w:jc w:val="center"/>
              <w:rPr>
                <w:rFonts w:asciiTheme="minorHAnsi" w:hAnsiTheme="minorHAnsi"/>
                <w:sz w:val="24"/>
                <w:szCs w:val="24"/>
              </w:rPr>
            </w:pPr>
            <w:r w:rsidRPr="00F267EF">
              <w:rPr>
                <w:rFonts w:asciiTheme="minorHAnsi" w:hAnsiTheme="minorHAnsi"/>
                <w:sz w:val="24"/>
                <w:szCs w:val="24"/>
              </w:rPr>
              <w:t>V</w:t>
            </w:r>
          </w:p>
        </w:tc>
      </w:tr>
    </w:tbl>
    <w:p w:rsidR="006E639B" w:rsidRPr="00F267EF" w:rsidRDefault="006E639B" w:rsidP="006E639B">
      <w:pPr>
        <w:autoSpaceDE w:val="0"/>
        <w:autoSpaceDN w:val="0"/>
        <w:adjustRightInd w:val="0"/>
        <w:jc w:val="both"/>
        <w:rPr>
          <w:rFonts w:cs="TTE2228400t00"/>
          <w:sz w:val="16"/>
          <w:szCs w:val="16"/>
          <w:lang w:eastAsia="en-AU"/>
        </w:rPr>
      </w:pPr>
    </w:p>
    <w:p w:rsidR="00C76B9C" w:rsidRPr="0014399B" w:rsidRDefault="00C76B9C" w:rsidP="00C76B9C">
      <w:pPr>
        <w:autoSpaceDE w:val="0"/>
        <w:autoSpaceDN w:val="0"/>
        <w:adjustRightInd w:val="0"/>
        <w:jc w:val="both"/>
        <w:rPr>
          <w:rFonts w:cs="TTE2228400t00"/>
          <w:lang w:eastAsia="en-AU"/>
        </w:rPr>
      </w:pPr>
      <w:r w:rsidRPr="0014399B">
        <w:rPr>
          <w:rFonts w:cs="TTE2228400t00"/>
          <w:lang w:eastAsia="en-AU"/>
        </w:rPr>
        <w:t>Points to note:</w:t>
      </w:r>
    </w:p>
    <w:p w:rsidR="00C76B9C" w:rsidRPr="0014399B" w:rsidRDefault="00C76B9C" w:rsidP="00C76B9C">
      <w:pPr>
        <w:pStyle w:val="ListParagraph"/>
        <w:numPr>
          <w:ilvl w:val="0"/>
          <w:numId w:val="7"/>
        </w:numPr>
        <w:autoSpaceDE w:val="0"/>
        <w:autoSpaceDN w:val="0"/>
        <w:adjustRightInd w:val="0"/>
        <w:jc w:val="both"/>
        <w:rPr>
          <w:rFonts w:asciiTheme="minorHAnsi" w:hAnsiTheme="minorHAnsi" w:cs="TTE2228400t00"/>
          <w:sz w:val="22"/>
          <w:szCs w:val="22"/>
          <w:lang w:eastAsia="en-AU"/>
        </w:rPr>
      </w:pPr>
      <w:r w:rsidRPr="0014399B">
        <w:rPr>
          <w:rFonts w:asciiTheme="minorHAnsi" w:hAnsiTheme="minorHAnsi" w:cs="TTE2228400t00"/>
          <w:sz w:val="22"/>
          <w:szCs w:val="22"/>
          <w:lang w:eastAsia="en-AU"/>
        </w:rPr>
        <w:t xml:space="preserve">The frequency of visiting services varies widely from </w:t>
      </w:r>
      <w:r w:rsidR="00F267EF">
        <w:rPr>
          <w:rFonts w:asciiTheme="minorHAnsi" w:hAnsiTheme="minorHAnsi" w:cs="TTE2228400t00"/>
          <w:sz w:val="22"/>
          <w:szCs w:val="22"/>
          <w:lang w:eastAsia="en-AU"/>
        </w:rPr>
        <w:t>intermitt</w:t>
      </w:r>
      <w:r w:rsidRPr="0014399B">
        <w:rPr>
          <w:rFonts w:asciiTheme="minorHAnsi" w:hAnsiTheme="minorHAnsi" w:cs="TTE2228400t00"/>
          <w:sz w:val="22"/>
          <w:szCs w:val="22"/>
          <w:lang w:eastAsia="en-AU"/>
        </w:rPr>
        <w:t>ent or monthly eg</w:t>
      </w:r>
      <w:r w:rsidR="00F267EF">
        <w:rPr>
          <w:rFonts w:asciiTheme="minorHAnsi" w:hAnsiTheme="minorHAnsi" w:cs="TTE2228400t00"/>
          <w:sz w:val="22"/>
          <w:szCs w:val="22"/>
          <w:lang w:eastAsia="en-AU"/>
        </w:rPr>
        <w:t>.</w:t>
      </w:r>
      <w:r w:rsidRPr="0014399B">
        <w:rPr>
          <w:rFonts w:asciiTheme="minorHAnsi" w:hAnsiTheme="minorHAnsi" w:cs="TTE2228400t00"/>
          <w:sz w:val="22"/>
          <w:szCs w:val="22"/>
          <w:lang w:eastAsia="en-AU"/>
        </w:rPr>
        <w:t xml:space="preserve"> RFDS to </w:t>
      </w:r>
      <w:r w:rsidRPr="0014399B">
        <w:rPr>
          <w:rFonts w:asciiTheme="minorHAnsi" w:hAnsiTheme="minorHAnsi"/>
          <w:sz w:val="22"/>
          <w:szCs w:val="22"/>
        </w:rPr>
        <w:t>Djugerari or Kadjina</w:t>
      </w:r>
      <w:r w:rsidRPr="0014399B">
        <w:rPr>
          <w:rFonts w:asciiTheme="minorHAnsi" w:hAnsiTheme="minorHAnsi" w:cs="TTE2228400t00"/>
          <w:sz w:val="22"/>
          <w:szCs w:val="22"/>
          <w:lang w:eastAsia="en-AU"/>
        </w:rPr>
        <w:t xml:space="preserve"> to several times a week eg</w:t>
      </w:r>
      <w:r w:rsidR="00F267EF">
        <w:rPr>
          <w:rFonts w:asciiTheme="minorHAnsi" w:hAnsiTheme="minorHAnsi" w:cs="TTE2228400t00"/>
          <w:sz w:val="22"/>
          <w:szCs w:val="22"/>
          <w:lang w:eastAsia="en-AU"/>
        </w:rPr>
        <w:t>.</w:t>
      </w:r>
      <w:r w:rsidRPr="0014399B">
        <w:rPr>
          <w:rFonts w:asciiTheme="minorHAnsi" w:hAnsiTheme="minorHAnsi" w:cs="TTE2228400t00"/>
          <w:sz w:val="22"/>
          <w:szCs w:val="22"/>
          <w:lang w:eastAsia="en-AU"/>
        </w:rPr>
        <w:t xml:space="preserve"> Wangatjungika </w:t>
      </w:r>
      <w:r>
        <w:rPr>
          <w:rFonts w:asciiTheme="minorHAnsi" w:hAnsiTheme="minorHAnsi" w:cs="TTE2228400t00"/>
          <w:sz w:val="22"/>
          <w:szCs w:val="22"/>
          <w:lang w:eastAsia="en-AU"/>
        </w:rPr>
        <w:t xml:space="preserve">(4 days /week) </w:t>
      </w:r>
      <w:r w:rsidRPr="0014399B">
        <w:rPr>
          <w:rFonts w:asciiTheme="minorHAnsi" w:hAnsiTheme="minorHAnsi" w:cs="TTE2228400t00"/>
          <w:sz w:val="22"/>
          <w:szCs w:val="22"/>
          <w:lang w:eastAsia="en-AU"/>
        </w:rPr>
        <w:t xml:space="preserve">or Mowanjum.   </w:t>
      </w:r>
    </w:p>
    <w:p w:rsidR="00C76B9C" w:rsidRPr="0014399B" w:rsidRDefault="00C76B9C" w:rsidP="00C76B9C">
      <w:pPr>
        <w:pStyle w:val="ListParagraph"/>
        <w:numPr>
          <w:ilvl w:val="0"/>
          <w:numId w:val="7"/>
        </w:numPr>
        <w:autoSpaceDE w:val="0"/>
        <w:autoSpaceDN w:val="0"/>
        <w:adjustRightInd w:val="0"/>
        <w:jc w:val="both"/>
        <w:rPr>
          <w:rFonts w:asciiTheme="minorHAnsi" w:hAnsiTheme="minorHAnsi" w:cs="TTE2228400t00"/>
          <w:sz w:val="22"/>
          <w:szCs w:val="22"/>
          <w:lang w:eastAsia="en-AU"/>
        </w:rPr>
      </w:pPr>
      <w:r w:rsidRPr="0014399B">
        <w:rPr>
          <w:rFonts w:asciiTheme="minorHAnsi" w:hAnsiTheme="minorHAnsi" w:cs="TTE2228400t00"/>
          <w:sz w:val="22"/>
          <w:szCs w:val="22"/>
          <w:lang w:eastAsia="en-AU"/>
        </w:rPr>
        <w:t>Additional visits by Child Health, School Health and/or Allied Health clinicians and GPs may occur at all sites</w:t>
      </w:r>
    </w:p>
    <w:p w:rsidR="00C76B9C" w:rsidRPr="0014399B" w:rsidRDefault="00C76B9C" w:rsidP="00C76B9C">
      <w:pPr>
        <w:pStyle w:val="ListParagraph"/>
        <w:numPr>
          <w:ilvl w:val="0"/>
          <w:numId w:val="7"/>
        </w:numPr>
        <w:autoSpaceDE w:val="0"/>
        <w:autoSpaceDN w:val="0"/>
        <w:adjustRightInd w:val="0"/>
        <w:jc w:val="both"/>
        <w:rPr>
          <w:rFonts w:asciiTheme="minorHAnsi" w:hAnsiTheme="minorHAnsi" w:cs="TTE2228400t00"/>
          <w:sz w:val="22"/>
          <w:szCs w:val="22"/>
          <w:lang w:eastAsia="en-AU"/>
        </w:rPr>
      </w:pPr>
      <w:r w:rsidRPr="0014399B">
        <w:rPr>
          <w:rFonts w:asciiTheme="minorHAnsi" w:hAnsiTheme="minorHAnsi" w:cs="TTE2228400t00"/>
          <w:sz w:val="22"/>
          <w:szCs w:val="22"/>
          <w:lang w:eastAsia="en-AU"/>
        </w:rPr>
        <w:t xml:space="preserve">There are 45 communities in the Fitzroy Valley.  Some communities receive no visiting services. </w:t>
      </w:r>
    </w:p>
    <w:p w:rsidR="009B6BD8" w:rsidRPr="009B6BD8" w:rsidRDefault="009B6BD8" w:rsidP="006E639B">
      <w:pPr>
        <w:autoSpaceDE w:val="0"/>
        <w:autoSpaceDN w:val="0"/>
        <w:adjustRightInd w:val="0"/>
        <w:jc w:val="both"/>
        <w:rPr>
          <w:rFonts w:cs="TTE2228400t00"/>
          <w:sz w:val="18"/>
          <w:szCs w:val="18"/>
          <w:lang w:eastAsia="en-AU"/>
        </w:rPr>
      </w:pPr>
    </w:p>
    <w:p w:rsidR="003663B1" w:rsidRDefault="003663B1" w:rsidP="006E639B">
      <w:pPr>
        <w:autoSpaceDE w:val="0"/>
        <w:autoSpaceDN w:val="0"/>
        <w:adjustRightInd w:val="0"/>
        <w:jc w:val="both"/>
        <w:rPr>
          <w:rFonts w:cs="TTE2228400t00"/>
          <w:sz w:val="24"/>
          <w:szCs w:val="24"/>
          <w:lang w:eastAsia="en-AU"/>
        </w:rPr>
      </w:pPr>
      <w:r>
        <w:rPr>
          <w:rFonts w:cs="TTE2228400t00"/>
          <w:sz w:val="24"/>
          <w:szCs w:val="24"/>
          <w:lang w:eastAsia="en-AU"/>
        </w:rPr>
        <w:t>KAMS</w:t>
      </w:r>
      <w:r>
        <w:rPr>
          <w:rFonts w:cs="TTE2228400t00"/>
          <w:sz w:val="24"/>
          <w:szCs w:val="24"/>
          <w:lang w:eastAsia="en-AU"/>
        </w:rPr>
        <w:tab/>
      </w:r>
      <w:r>
        <w:rPr>
          <w:rFonts w:cs="TTE2228400t00"/>
          <w:sz w:val="24"/>
          <w:szCs w:val="24"/>
          <w:lang w:eastAsia="en-AU"/>
        </w:rPr>
        <w:tab/>
        <w:t>Kimberley Abor</w:t>
      </w:r>
      <w:r w:rsidR="00654EAE">
        <w:rPr>
          <w:rFonts w:cs="TTE2228400t00"/>
          <w:sz w:val="24"/>
          <w:szCs w:val="24"/>
          <w:lang w:eastAsia="en-AU"/>
        </w:rPr>
        <w:t>iginal Medical Services</w:t>
      </w:r>
      <w:r w:rsidR="00654EAE">
        <w:rPr>
          <w:rFonts w:cs="TTE2228400t00"/>
          <w:sz w:val="24"/>
          <w:szCs w:val="24"/>
          <w:lang w:eastAsia="en-AU"/>
        </w:rPr>
        <w:tab/>
      </w:r>
      <w:r w:rsidR="00654EAE">
        <w:rPr>
          <w:rFonts w:cs="TTE2228400t00"/>
          <w:sz w:val="24"/>
          <w:szCs w:val="24"/>
          <w:lang w:eastAsia="en-AU"/>
        </w:rPr>
        <w:tab/>
        <w:t>DAHS</w:t>
      </w:r>
      <w:r w:rsidR="00654EAE">
        <w:rPr>
          <w:rFonts w:cs="TTE2228400t00"/>
          <w:sz w:val="24"/>
          <w:szCs w:val="24"/>
          <w:lang w:eastAsia="en-AU"/>
        </w:rPr>
        <w:tab/>
      </w:r>
      <w:r w:rsidR="00654EAE">
        <w:rPr>
          <w:rFonts w:cs="TTE2228400t00"/>
          <w:sz w:val="24"/>
          <w:szCs w:val="24"/>
          <w:lang w:eastAsia="en-AU"/>
        </w:rPr>
        <w:tab/>
      </w:r>
      <w:r>
        <w:rPr>
          <w:rFonts w:cs="TTE2228400t00"/>
          <w:sz w:val="24"/>
          <w:szCs w:val="24"/>
          <w:lang w:eastAsia="en-AU"/>
        </w:rPr>
        <w:t>Derby Aboriginal Health Service</w:t>
      </w:r>
    </w:p>
    <w:p w:rsidR="003663B1" w:rsidRDefault="003663B1" w:rsidP="006E639B">
      <w:pPr>
        <w:autoSpaceDE w:val="0"/>
        <w:autoSpaceDN w:val="0"/>
        <w:adjustRightInd w:val="0"/>
        <w:jc w:val="both"/>
        <w:rPr>
          <w:rFonts w:cs="TTE2228400t00"/>
          <w:sz w:val="24"/>
          <w:szCs w:val="24"/>
          <w:lang w:eastAsia="en-AU"/>
        </w:rPr>
      </w:pPr>
      <w:r>
        <w:rPr>
          <w:rFonts w:cs="TTE2228400t00"/>
          <w:sz w:val="24"/>
          <w:szCs w:val="24"/>
          <w:lang w:eastAsia="en-AU"/>
        </w:rPr>
        <w:t>KPHU</w:t>
      </w:r>
      <w:r>
        <w:rPr>
          <w:rFonts w:cs="TTE2228400t00"/>
          <w:sz w:val="24"/>
          <w:szCs w:val="24"/>
          <w:lang w:eastAsia="en-AU"/>
        </w:rPr>
        <w:tab/>
      </w:r>
      <w:r>
        <w:rPr>
          <w:rFonts w:cs="TTE2228400t00"/>
          <w:sz w:val="24"/>
          <w:szCs w:val="24"/>
          <w:lang w:eastAsia="en-AU"/>
        </w:rPr>
        <w:tab/>
        <w:t>Kimberley Population Health Unit, WACHS</w:t>
      </w:r>
      <w:r>
        <w:rPr>
          <w:rFonts w:cs="TTE2228400t00"/>
          <w:sz w:val="24"/>
          <w:szCs w:val="24"/>
          <w:lang w:eastAsia="en-AU"/>
        </w:rPr>
        <w:tab/>
      </w:r>
      <w:r>
        <w:rPr>
          <w:rFonts w:cs="TTE2228400t00"/>
          <w:sz w:val="24"/>
          <w:szCs w:val="24"/>
          <w:lang w:eastAsia="en-AU"/>
        </w:rPr>
        <w:tab/>
        <w:t>RFDS</w:t>
      </w:r>
      <w:r>
        <w:rPr>
          <w:rFonts w:cs="TTE2228400t00"/>
          <w:sz w:val="24"/>
          <w:szCs w:val="24"/>
          <w:lang w:eastAsia="en-AU"/>
        </w:rPr>
        <w:tab/>
      </w:r>
      <w:r>
        <w:rPr>
          <w:rFonts w:cs="TTE2228400t00"/>
          <w:sz w:val="24"/>
          <w:szCs w:val="24"/>
          <w:lang w:eastAsia="en-AU"/>
        </w:rPr>
        <w:tab/>
        <w:t>Royal Flying Doctor Service</w:t>
      </w:r>
    </w:p>
    <w:p w:rsidR="006E639B" w:rsidRPr="009B6BD8" w:rsidRDefault="003663B1" w:rsidP="009B6BD8">
      <w:pPr>
        <w:autoSpaceDE w:val="0"/>
        <w:autoSpaceDN w:val="0"/>
        <w:adjustRightInd w:val="0"/>
        <w:jc w:val="both"/>
        <w:rPr>
          <w:rFonts w:cs="TTE2228400t00"/>
          <w:smallCaps/>
          <w:sz w:val="24"/>
          <w:szCs w:val="24"/>
          <w:lang w:eastAsia="en-AU"/>
        </w:rPr>
      </w:pPr>
      <w:r>
        <w:rPr>
          <w:rFonts w:cs="TTE2228400t00"/>
          <w:sz w:val="24"/>
          <w:szCs w:val="24"/>
          <w:lang w:eastAsia="en-AU"/>
        </w:rPr>
        <w:t>OVAHS</w:t>
      </w:r>
      <w:r>
        <w:rPr>
          <w:rFonts w:cs="TTE2228400t00"/>
          <w:sz w:val="24"/>
          <w:szCs w:val="24"/>
          <w:lang w:eastAsia="en-AU"/>
        </w:rPr>
        <w:tab/>
      </w:r>
      <w:r>
        <w:rPr>
          <w:rFonts w:cs="TTE2228400t00"/>
          <w:sz w:val="24"/>
          <w:szCs w:val="24"/>
          <w:lang w:eastAsia="en-AU"/>
        </w:rPr>
        <w:tab/>
        <w:t>Ord Valley Aboriginal Medical Service</w:t>
      </w:r>
      <w:r>
        <w:rPr>
          <w:rFonts w:cs="TTE2228400t00"/>
          <w:sz w:val="24"/>
          <w:szCs w:val="24"/>
          <w:lang w:eastAsia="en-AU"/>
        </w:rPr>
        <w:tab/>
      </w:r>
      <w:r>
        <w:rPr>
          <w:rFonts w:cs="TTE2228400t00"/>
          <w:sz w:val="24"/>
          <w:szCs w:val="24"/>
          <w:lang w:eastAsia="en-AU"/>
        </w:rPr>
        <w:tab/>
        <w:t>YYMS</w:t>
      </w:r>
      <w:r>
        <w:rPr>
          <w:rFonts w:cs="TTE2228400t00"/>
          <w:sz w:val="24"/>
          <w:szCs w:val="24"/>
          <w:lang w:eastAsia="en-AU"/>
        </w:rPr>
        <w:tab/>
      </w:r>
      <w:r>
        <w:rPr>
          <w:rFonts w:cs="TTE2228400t00"/>
          <w:sz w:val="24"/>
          <w:szCs w:val="24"/>
          <w:lang w:eastAsia="en-AU"/>
        </w:rPr>
        <w:tab/>
        <w:t>Yura Yungi Aboriginal Medical Service</w:t>
      </w:r>
    </w:p>
    <w:sectPr w:rsidR="006E639B" w:rsidRPr="009B6BD8" w:rsidSect="00B64709">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6B" w:rsidRDefault="00D4506B" w:rsidP="00EA3ACA">
      <w:r>
        <w:separator/>
      </w:r>
    </w:p>
  </w:endnote>
  <w:endnote w:type="continuationSeparator" w:id="0">
    <w:p w:rsidR="00D4506B" w:rsidRDefault="00D4506B" w:rsidP="00EA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nterstate-LightCondense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TE222840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187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187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18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6B" w:rsidRDefault="00D4506B" w:rsidP="00EA3ACA">
      <w:r>
        <w:separator/>
      </w:r>
    </w:p>
  </w:footnote>
  <w:footnote w:type="continuationSeparator" w:id="0">
    <w:p w:rsidR="00D4506B" w:rsidRDefault="00D4506B" w:rsidP="00EA3ACA">
      <w:r>
        <w:continuationSeparator/>
      </w:r>
    </w:p>
  </w:footnote>
  <w:footnote w:id="1">
    <w:p w:rsidR="00187AC9" w:rsidRPr="00443F6C" w:rsidRDefault="00187AC9" w:rsidP="0016120F">
      <w:pPr>
        <w:pStyle w:val="FootnoteText"/>
        <w:jc w:val="left"/>
        <w:rPr>
          <w:sz w:val="18"/>
          <w:szCs w:val="18"/>
          <w:lang w:val="en-AU"/>
        </w:rPr>
      </w:pPr>
      <w:r w:rsidRPr="00443F6C">
        <w:rPr>
          <w:rStyle w:val="FootnoteReference"/>
          <w:sz w:val="18"/>
          <w:szCs w:val="18"/>
        </w:rPr>
        <w:footnoteRef/>
      </w:r>
      <w:r w:rsidRPr="00443F6C">
        <w:rPr>
          <w:sz w:val="18"/>
          <w:szCs w:val="18"/>
        </w:rPr>
        <w:t xml:space="preserve"> </w:t>
      </w:r>
      <w:r w:rsidRPr="00443F6C">
        <w:rPr>
          <w:sz w:val="18"/>
          <w:szCs w:val="18"/>
          <w:lang w:val="en-AU"/>
        </w:rPr>
        <w:t xml:space="preserve"> </w:t>
      </w:r>
      <w:r w:rsidRPr="00443F6C">
        <w:rPr>
          <w:sz w:val="18"/>
          <w:szCs w:val="18"/>
        </w:rPr>
        <w:t>2036 and beyond: a regional Blueprint for the Kimberley. Draft for public comment. Kimberley Development Commission 2015.</w:t>
      </w:r>
      <w:r>
        <w:rPr>
          <w:sz w:val="18"/>
          <w:szCs w:val="18"/>
        </w:rPr>
        <w:t xml:space="preserve"> Page 95.</w:t>
      </w:r>
    </w:p>
  </w:footnote>
  <w:footnote w:id="2">
    <w:p w:rsidR="00187AC9" w:rsidRDefault="00187AC9" w:rsidP="001B3E1F">
      <w:pPr>
        <w:pStyle w:val="FootnoteText"/>
        <w:jc w:val="left"/>
        <w:rPr>
          <w:lang w:val="en-AU"/>
        </w:rPr>
      </w:pPr>
      <w:r>
        <w:rPr>
          <w:rStyle w:val="FootnoteReference"/>
        </w:rPr>
        <w:footnoteRef/>
      </w:r>
      <w:r>
        <w:t xml:space="preserve"> </w:t>
      </w:r>
      <w:r>
        <w:rPr>
          <w:lang w:val="en-AU"/>
        </w:rPr>
        <w:t xml:space="preserve">  Available from </w:t>
      </w:r>
      <w:hyperlink r:id="rId1" w:history="1">
        <w:r w:rsidRPr="00C3521A">
          <w:rPr>
            <w:rStyle w:val="Hyperlink"/>
            <w:lang w:val="en-AU"/>
          </w:rPr>
          <w:t>http://resources.kamsc.org.au/krahp.html</w:t>
        </w:r>
      </w:hyperlink>
    </w:p>
    <w:p w:rsidR="00187AC9" w:rsidRPr="0031313D" w:rsidRDefault="00187AC9" w:rsidP="001B3E1F">
      <w:pPr>
        <w:pStyle w:val="FootnoteText"/>
        <w:jc w:val="left"/>
        <w:rPr>
          <w:lang w:val="en-AU"/>
        </w:rPr>
      </w:pPr>
    </w:p>
  </w:footnote>
  <w:footnote w:id="3">
    <w:p w:rsidR="00187AC9" w:rsidRPr="00963180" w:rsidRDefault="00187AC9" w:rsidP="004A6D11">
      <w:pPr>
        <w:jc w:val="left"/>
        <w:rPr>
          <w:sz w:val="18"/>
          <w:szCs w:val="18"/>
        </w:rPr>
      </w:pPr>
      <w:r w:rsidRPr="00963180">
        <w:rPr>
          <w:rStyle w:val="FootnoteReference"/>
          <w:sz w:val="18"/>
          <w:szCs w:val="18"/>
        </w:rPr>
        <w:footnoteRef/>
      </w:r>
      <w:r>
        <w:rPr>
          <w:sz w:val="18"/>
          <w:szCs w:val="18"/>
        </w:rPr>
        <w:t xml:space="preserve"> </w:t>
      </w:r>
      <w:hyperlink r:id="rId2" w:history="1">
        <w:r w:rsidRPr="00963180">
          <w:rPr>
            <w:rStyle w:val="Hyperlink"/>
            <w:sz w:val="18"/>
            <w:szCs w:val="18"/>
          </w:rPr>
          <w:t>http://wacountry.health.wa.gov.au/fileadmin/sections/publications/Kimberley_Profile_Sep_2015_FINAL.pdf</w:t>
        </w:r>
      </w:hyperlink>
    </w:p>
    <w:p w:rsidR="00187AC9" w:rsidRPr="00963180" w:rsidRDefault="00187AC9" w:rsidP="004A6D11">
      <w:pPr>
        <w:jc w:val="left"/>
        <w:rPr>
          <w:lang w:val="en-AU"/>
        </w:rPr>
      </w:pPr>
    </w:p>
    <w:p w:rsidR="00187AC9" w:rsidRPr="00963180" w:rsidRDefault="00187AC9" w:rsidP="004A6D11">
      <w:pPr>
        <w:pStyle w:val="FootnoteText"/>
        <w:jc w:val="left"/>
        <w:rPr>
          <w:lang w:val="en-AU"/>
        </w:rPr>
      </w:pPr>
    </w:p>
  </w:footnote>
  <w:footnote w:id="4">
    <w:p w:rsidR="00187AC9" w:rsidRPr="00654EAE" w:rsidRDefault="00187AC9" w:rsidP="00654EAE">
      <w:pPr>
        <w:pStyle w:val="FootnoteText"/>
        <w:jc w:val="left"/>
        <w:rPr>
          <w:lang w:val="en-AU"/>
        </w:rPr>
      </w:pPr>
      <w:r>
        <w:rPr>
          <w:rStyle w:val="FootnoteReference"/>
        </w:rPr>
        <w:footnoteRef/>
      </w:r>
      <w:r>
        <w:t xml:space="preserve"> KAMS, BRAMS, DAHS, NCHS, YYMS, OVAHS.</w:t>
      </w:r>
    </w:p>
  </w:footnote>
  <w:footnote w:id="5">
    <w:p w:rsidR="00187AC9" w:rsidRDefault="00187AC9" w:rsidP="000F29B5">
      <w:pPr>
        <w:pStyle w:val="FootnoteText"/>
        <w:jc w:val="left"/>
      </w:pPr>
      <w:r w:rsidRPr="00E209A8">
        <w:rPr>
          <w:rStyle w:val="FootnoteReference"/>
        </w:rPr>
        <w:footnoteRef/>
      </w:r>
      <w:r w:rsidRPr="00E209A8">
        <w:t xml:space="preserve">   WA</w:t>
      </w:r>
      <w:r>
        <w:t xml:space="preserve"> Planning Commission on the Kimberley Development Commission website </w:t>
      </w:r>
      <w:hyperlink r:id="rId3" w:history="1">
        <w:r w:rsidRPr="00E139DD">
          <w:rPr>
            <w:rStyle w:val="Hyperlink"/>
          </w:rPr>
          <w:t>http://kdc.wa.gov.au/economic-activity/demographics/</w:t>
        </w:r>
      </w:hyperlink>
    </w:p>
    <w:p w:rsidR="00187AC9" w:rsidRPr="000F29B5" w:rsidRDefault="00187AC9" w:rsidP="000F29B5">
      <w:pPr>
        <w:pStyle w:val="FootnoteText"/>
        <w:jc w:val="left"/>
        <w:rPr>
          <w:lang w:val="en-AU"/>
        </w:rPr>
      </w:pPr>
    </w:p>
  </w:footnote>
  <w:footnote w:id="6">
    <w:p w:rsidR="00187AC9" w:rsidRPr="00470E9D" w:rsidRDefault="00187AC9" w:rsidP="00470E9D">
      <w:pPr>
        <w:pStyle w:val="Default"/>
        <w:rPr>
          <w:rFonts w:ascii="Calibri" w:hAnsi="Calibri" w:cs="Calibri"/>
        </w:rPr>
      </w:pPr>
      <w:r>
        <w:rPr>
          <w:rStyle w:val="FootnoteReference"/>
        </w:rPr>
        <w:footnoteRef/>
      </w:r>
      <w:r>
        <w:t xml:space="preserve"> </w:t>
      </w:r>
      <w:r>
        <w:rPr>
          <w:rFonts w:ascii="Calibri" w:hAnsi="Calibri" w:cs="Calibri"/>
          <w:sz w:val="18"/>
          <w:szCs w:val="18"/>
        </w:rPr>
        <w:t>W</w:t>
      </w:r>
      <w:r w:rsidRPr="00470E9D">
        <w:rPr>
          <w:rFonts w:ascii="Calibri" w:hAnsi="Calibri" w:cs="Calibri"/>
          <w:sz w:val="18"/>
          <w:szCs w:val="18"/>
        </w:rPr>
        <w:t xml:space="preserve">estern </w:t>
      </w:r>
      <w:r>
        <w:rPr>
          <w:rFonts w:ascii="Calibri" w:hAnsi="Calibri" w:cs="Calibri"/>
          <w:sz w:val="18"/>
          <w:szCs w:val="18"/>
        </w:rPr>
        <w:t>A</w:t>
      </w:r>
      <w:r w:rsidRPr="00470E9D">
        <w:rPr>
          <w:rFonts w:ascii="Calibri" w:hAnsi="Calibri" w:cs="Calibri"/>
          <w:sz w:val="18"/>
          <w:szCs w:val="18"/>
        </w:rPr>
        <w:t xml:space="preserve">ustralian </w:t>
      </w:r>
      <w:r>
        <w:rPr>
          <w:rFonts w:ascii="Calibri" w:hAnsi="Calibri" w:cs="Calibri"/>
          <w:sz w:val="18"/>
          <w:szCs w:val="18"/>
        </w:rPr>
        <w:t>A</w:t>
      </w:r>
      <w:r w:rsidRPr="00470E9D">
        <w:rPr>
          <w:rFonts w:ascii="Calibri" w:hAnsi="Calibri" w:cs="Calibri"/>
          <w:sz w:val="18"/>
          <w:szCs w:val="18"/>
        </w:rPr>
        <w:t>borig</w:t>
      </w:r>
      <w:r>
        <w:rPr>
          <w:rFonts w:ascii="Calibri" w:hAnsi="Calibri" w:cs="Calibri"/>
          <w:sz w:val="18"/>
          <w:szCs w:val="18"/>
        </w:rPr>
        <w:t>i</w:t>
      </w:r>
      <w:r w:rsidRPr="00470E9D">
        <w:rPr>
          <w:rFonts w:ascii="Calibri" w:hAnsi="Calibri" w:cs="Calibri"/>
          <w:sz w:val="18"/>
          <w:szCs w:val="18"/>
        </w:rPr>
        <w:t xml:space="preserve">nal </w:t>
      </w:r>
      <w:r>
        <w:rPr>
          <w:rFonts w:ascii="Calibri" w:hAnsi="Calibri" w:cs="Calibri"/>
          <w:sz w:val="18"/>
          <w:szCs w:val="18"/>
        </w:rPr>
        <w:t>C</w:t>
      </w:r>
      <w:r w:rsidRPr="00470E9D">
        <w:rPr>
          <w:rFonts w:ascii="Calibri" w:hAnsi="Calibri" w:cs="Calibri"/>
          <w:sz w:val="18"/>
          <w:szCs w:val="18"/>
        </w:rPr>
        <w:t xml:space="preserve">ommunity </w:t>
      </w:r>
      <w:r>
        <w:rPr>
          <w:rFonts w:ascii="Calibri" w:hAnsi="Calibri" w:cs="Calibri"/>
          <w:sz w:val="18"/>
          <w:szCs w:val="18"/>
        </w:rPr>
        <w:t>C</w:t>
      </w:r>
      <w:r w:rsidRPr="00470E9D">
        <w:rPr>
          <w:rFonts w:ascii="Calibri" w:hAnsi="Calibri" w:cs="Calibri"/>
          <w:sz w:val="18"/>
          <w:szCs w:val="18"/>
        </w:rPr>
        <w:t xml:space="preserve">ontrolled </w:t>
      </w:r>
      <w:r>
        <w:rPr>
          <w:rFonts w:ascii="Calibri" w:hAnsi="Calibri" w:cs="Calibri"/>
          <w:sz w:val="18"/>
          <w:szCs w:val="18"/>
        </w:rPr>
        <w:t>H</w:t>
      </w:r>
      <w:r w:rsidRPr="00470E9D">
        <w:rPr>
          <w:rFonts w:ascii="Calibri" w:hAnsi="Calibri" w:cs="Calibri"/>
          <w:sz w:val="18"/>
          <w:szCs w:val="18"/>
        </w:rPr>
        <w:t xml:space="preserve">ealth </w:t>
      </w:r>
      <w:r>
        <w:rPr>
          <w:rFonts w:ascii="Calibri" w:hAnsi="Calibri" w:cs="Calibri"/>
          <w:sz w:val="18"/>
          <w:szCs w:val="18"/>
        </w:rPr>
        <w:t>S</w:t>
      </w:r>
      <w:r w:rsidRPr="00470E9D">
        <w:rPr>
          <w:rFonts w:ascii="Calibri" w:hAnsi="Calibri" w:cs="Calibri"/>
          <w:sz w:val="18"/>
          <w:szCs w:val="18"/>
        </w:rPr>
        <w:t>ector</w:t>
      </w:r>
      <w:r>
        <w:rPr>
          <w:rFonts w:ascii="Calibri" w:hAnsi="Calibri" w:cs="Calibri"/>
          <w:sz w:val="18"/>
          <w:szCs w:val="18"/>
        </w:rPr>
        <w:t xml:space="preserve"> (AHCWA)</w:t>
      </w:r>
      <w:r w:rsidRPr="00470E9D">
        <w:rPr>
          <w:rFonts w:ascii="Calibri" w:hAnsi="Calibri" w:cs="Calibri"/>
          <w:sz w:val="18"/>
          <w:szCs w:val="18"/>
        </w:rPr>
        <w:t xml:space="preserve">. Executive </w:t>
      </w:r>
      <w:r>
        <w:rPr>
          <w:rFonts w:ascii="Calibri" w:hAnsi="Calibri" w:cs="Calibri"/>
          <w:sz w:val="18"/>
          <w:szCs w:val="18"/>
        </w:rPr>
        <w:t>S</w:t>
      </w:r>
      <w:r w:rsidRPr="00470E9D">
        <w:rPr>
          <w:rFonts w:ascii="Calibri" w:hAnsi="Calibri" w:cs="Calibri"/>
          <w:sz w:val="18"/>
          <w:szCs w:val="18"/>
        </w:rPr>
        <w:t xml:space="preserve">ummary to the </w:t>
      </w:r>
      <w:r>
        <w:rPr>
          <w:rFonts w:ascii="Calibri" w:hAnsi="Calibri" w:cs="Calibri"/>
          <w:sz w:val="18"/>
          <w:szCs w:val="18"/>
        </w:rPr>
        <w:t>November 2014 Position P</w:t>
      </w:r>
      <w:r w:rsidRPr="00470E9D">
        <w:rPr>
          <w:rFonts w:ascii="Calibri" w:hAnsi="Calibri" w:cs="Calibri"/>
          <w:sz w:val="18"/>
          <w:szCs w:val="18"/>
        </w:rPr>
        <w:t xml:space="preserve">aper profiling our sector in </w:t>
      </w:r>
      <w:r>
        <w:rPr>
          <w:rFonts w:ascii="Calibri" w:hAnsi="Calibri" w:cs="Calibri"/>
          <w:sz w:val="18"/>
          <w:szCs w:val="18"/>
        </w:rPr>
        <w:t>W</w:t>
      </w:r>
      <w:r w:rsidRPr="00470E9D">
        <w:rPr>
          <w:rFonts w:ascii="Calibri" w:hAnsi="Calibri" w:cs="Calibri"/>
          <w:sz w:val="18"/>
          <w:szCs w:val="18"/>
        </w:rPr>
        <w:t xml:space="preserve">estern </w:t>
      </w:r>
      <w:r>
        <w:rPr>
          <w:rFonts w:ascii="Calibri" w:hAnsi="Calibri" w:cs="Calibri"/>
          <w:sz w:val="18"/>
          <w:szCs w:val="18"/>
        </w:rPr>
        <w:t>A</w:t>
      </w:r>
      <w:r w:rsidRPr="00470E9D">
        <w:rPr>
          <w:rFonts w:ascii="Calibri" w:hAnsi="Calibri" w:cs="Calibri"/>
          <w:sz w:val="18"/>
          <w:szCs w:val="18"/>
        </w:rPr>
        <w:t>ustralia</w:t>
      </w:r>
      <w:r>
        <w:rPr>
          <w:rFonts w:ascii="Calibri" w:hAnsi="Calibri" w:cs="Calibri"/>
          <w:sz w:val="18"/>
          <w:szCs w:val="18"/>
        </w:rPr>
        <w:t>.</w:t>
      </w:r>
    </w:p>
    <w:p w:rsidR="00187AC9" w:rsidRPr="00470E9D" w:rsidRDefault="00187AC9" w:rsidP="00470E9D">
      <w:pPr>
        <w:pStyle w:val="FootnoteText"/>
        <w:jc w:val="left"/>
        <w:rPr>
          <w:lang w:val="en-AU"/>
        </w:rPr>
      </w:pPr>
    </w:p>
  </w:footnote>
  <w:footnote w:id="7">
    <w:p w:rsidR="00187AC9" w:rsidRPr="0019196C" w:rsidRDefault="00187AC9" w:rsidP="0019196C">
      <w:pPr>
        <w:pStyle w:val="FootnoteText"/>
        <w:jc w:val="left"/>
        <w:rPr>
          <w:lang w:val="en-AU"/>
        </w:rPr>
      </w:pPr>
      <w:r>
        <w:rPr>
          <w:rStyle w:val="FootnoteReference"/>
        </w:rPr>
        <w:footnoteRef/>
      </w:r>
      <w:r>
        <w:t xml:space="preserve"> </w:t>
      </w:r>
      <w:r>
        <w:rPr>
          <w:lang w:val="en-AU"/>
        </w:rPr>
        <w:t xml:space="preserve"> Better Outcomes for People with Chronic and Complex Health Conditions report. Available from </w:t>
      </w:r>
      <w:hyperlink r:id="rId4" w:history="1">
        <w:r w:rsidRPr="00912022">
          <w:rPr>
            <w:rStyle w:val="Hyperlink"/>
            <w:lang w:val="en-AU"/>
          </w:rPr>
          <w:t>http://www.health.gov.au/internet/main/publishing.nsf/Content/76B2BDC12AE54540CA257F72001102B9/%24File/Primary-Health-Care-Advisory-Group_Final-Report.pdf</w:t>
        </w:r>
      </w:hyperlink>
    </w:p>
  </w:footnote>
  <w:footnote w:id="8">
    <w:p w:rsidR="00187AC9" w:rsidRPr="0030690F" w:rsidRDefault="00187AC9" w:rsidP="004A363A">
      <w:pPr>
        <w:autoSpaceDE w:val="0"/>
        <w:autoSpaceDN w:val="0"/>
        <w:adjustRightInd w:val="0"/>
        <w:jc w:val="left"/>
        <w:rPr>
          <w:rFonts w:cs="GillSansMT"/>
          <w:sz w:val="18"/>
          <w:szCs w:val="18"/>
          <w:lang w:val="en-AU"/>
        </w:rPr>
      </w:pPr>
      <w:r w:rsidRPr="00A86026">
        <w:rPr>
          <w:rStyle w:val="FootnoteReference"/>
          <w:sz w:val="18"/>
          <w:szCs w:val="18"/>
        </w:rPr>
        <w:footnoteRef/>
      </w:r>
      <w:r w:rsidRPr="00A86026">
        <w:rPr>
          <w:sz w:val="18"/>
          <w:szCs w:val="18"/>
        </w:rPr>
        <w:t xml:space="preserve"> </w:t>
      </w:r>
      <w:r w:rsidRPr="00A86026">
        <w:rPr>
          <w:sz w:val="18"/>
          <w:szCs w:val="18"/>
          <w:lang w:val="en-AU"/>
        </w:rPr>
        <w:t xml:space="preserve">Australian Institute for Health &amp; Welfare, and Australian Institute for Family Studies. </w:t>
      </w:r>
      <w:r w:rsidRPr="00A86026">
        <w:rPr>
          <w:rFonts w:cs="GillSansMT"/>
          <w:sz w:val="18"/>
          <w:szCs w:val="18"/>
          <w:lang w:val="en-AU"/>
        </w:rPr>
        <w:t xml:space="preserve">Effective practices for service delivery coordination in Indigenous communities </w:t>
      </w:r>
      <w:r w:rsidRPr="00A86026">
        <w:rPr>
          <w:rFonts w:cs="MyriadPro-It"/>
          <w:i/>
          <w:iCs/>
          <w:sz w:val="18"/>
          <w:szCs w:val="18"/>
          <w:lang w:val="en-AU"/>
        </w:rPr>
        <w:t xml:space="preserve">Resource sheet no. 8 </w:t>
      </w:r>
      <w:r w:rsidRPr="00A86026">
        <w:rPr>
          <w:rFonts w:cs="MyriadPro-Regular"/>
          <w:sz w:val="18"/>
          <w:szCs w:val="18"/>
          <w:lang w:val="en-AU"/>
        </w:rPr>
        <w:t>produced by the Closing the Gap Clearinghouse</w:t>
      </w:r>
      <w:r>
        <w:rPr>
          <w:rFonts w:cs="MyriadPro-Regular"/>
          <w:sz w:val="18"/>
          <w:szCs w:val="18"/>
          <w:lang w:val="en-AU"/>
        </w:rPr>
        <w:t>.</w:t>
      </w:r>
      <w:r>
        <w:rPr>
          <w:rFonts w:cs="GillSansMT"/>
          <w:sz w:val="18"/>
          <w:szCs w:val="18"/>
          <w:lang w:val="en-AU"/>
        </w:rPr>
        <w:t xml:space="preserve"> </w:t>
      </w:r>
      <w:r w:rsidRPr="004A363A">
        <w:rPr>
          <w:rFonts w:cs="MyriadPro-Regular"/>
          <w:sz w:val="18"/>
          <w:szCs w:val="18"/>
          <w:lang w:val="en-AU"/>
        </w:rPr>
        <w:t>Jacqui Stewart,</w:t>
      </w:r>
      <w:r>
        <w:rPr>
          <w:rFonts w:cs="MyriadPro-Regular"/>
          <w:sz w:val="18"/>
          <w:szCs w:val="18"/>
          <w:lang w:val="en-AU"/>
        </w:rPr>
        <w:t xml:space="preserve"> Shaun Lohoar and Daryl Higgins. </w:t>
      </w:r>
      <w:r w:rsidRPr="004A363A">
        <w:rPr>
          <w:rFonts w:cs="MyriadPro-Regular"/>
          <w:sz w:val="18"/>
          <w:szCs w:val="18"/>
          <w:lang w:val="en-AU"/>
        </w:rPr>
        <w:t>December 2011</w:t>
      </w:r>
    </w:p>
  </w:footnote>
  <w:footnote w:id="9">
    <w:p w:rsidR="00187AC9" w:rsidRPr="007C2180" w:rsidRDefault="00187AC9" w:rsidP="007C2180">
      <w:pPr>
        <w:jc w:val="both"/>
        <w:rPr>
          <w:sz w:val="18"/>
          <w:szCs w:val="18"/>
          <w:u w:val="single"/>
          <w:lang w:val="en-US"/>
        </w:rPr>
      </w:pPr>
      <w:r w:rsidRPr="007C2180">
        <w:rPr>
          <w:rStyle w:val="FootnoteReference"/>
          <w:sz w:val="18"/>
          <w:szCs w:val="18"/>
        </w:rPr>
        <w:footnoteRef/>
      </w:r>
      <w:r w:rsidRPr="007C2180">
        <w:rPr>
          <w:sz w:val="18"/>
          <w:szCs w:val="18"/>
        </w:rPr>
        <w:t xml:space="preserve"> </w:t>
      </w:r>
      <w:r w:rsidRPr="007C2180">
        <w:rPr>
          <w:sz w:val="18"/>
          <w:szCs w:val="18"/>
          <w:lang w:val="en-AU"/>
        </w:rPr>
        <w:t xml:space="preserve">  </w:t>
      </w:r>
      <w:r w:rsidRPr="007C2180">
        <w:rPr>
          <w:iCs/>
          <w:sz w:val="18"/>
          <w:szCs w:val="18"/>
        </w:rPr>
        <w:t xml:space="preserve">Landrigan &amp; Pollard. Food Access and Cost Survey (FACS), Western Australia, 2010 cited in </w:t>
      </w:r>
      <w:r w:rsidRPr="007C2180">
        <w:rPr>
          <w:sz w:val="18"/>
          <w:szCs w:val="18"/>
        </w:rPr>
        <w:t>Pereira R (2015) APSGN Look-back report.</w:t>
      </w:r>
      <w:r>
        <w:rPr>
          <w:sz w:val="18"/>
          <w:szCs w:val="18"/>
        </w:rPr>
        <w:t xml:space="preserve"> KPHU.</w:t>
      </w:r>
    </w:p>
  </w:footnote>
  <w:footnote w:id="10">
    <w:p w:rsidR="00187AC9" w:rsidRDefault="00187AC9" w:rsidP="00E209A8">
      <w:pPr>
        <w:pStyle w:val="FootnoteText"/>
        <w:jc w:val="left"/>
        <w:rPr>
          <w:lang w:val="en-AU"/>
        </w:rPr>
      </w:pPr>
      <w:r>
        <w:rPr>
          <w:rStyle w:val="FootnoteReference"/>
        </w:rPr>
        <w:footnoteRef/>
      </w:r>
      <w:r>
        <w:t xml:space="preserve"> </w:t>
      </w:r>
      <w:r>
        <w:rPr>
          <w:lang w:val="en-AU"/>
        </w:rPr>
        <w:t xml:space="preserve">  Available on KDC website </w:t>
      </w:r>
      <w:hyperlink r:id="rId5" w:history="1">
        <w:r w:rsidRPr="00E139DD">
          <w:rPr>
            <w:rStyle w:val="Hyperlink"/>
            <w:lang w:val="en-AU"/>
          </w:rPr>
          <w:t>http://kdc.wa.gov.au/economic-activity/cost-of-living/</w:t>
        </w:r>
      </w:hyperlink>
    </w:p>
    <w:p w:rsidR="00187AC9" w:rsidRPr="00E209A8" w:rsidRDefault="00187AC9" w:rsidP="00E209A8">
      <w:pPr>
        <w:pStyle w:val="FootnoteText"/>
        <w:jc w:val="left"/>
        <w:rPr>
          <w:lang w:val="en-AU"/>
        </w:rPr>
      </w:pPr>
    </w:p>
  </w:footnote>
  <w:footnote w:id="11">
    <w:p w:rsidR="00187AC9" w:rsidRPr="007D2047" w:rsidRDefault="00187AC9" w:rsidP="007D2047">
      <w:pPr>
        <w:pStyle w:val="FootnoteText"/>
        <w:jc w:val="left"/>
        <w:rPr>
          <w:lang w:val="en-AU"/>
        </w:rPr>
      </w:pPr>
      <w:r w:rsidRPr="007C2180">
        <w:rPr>
          <w:rStyle w:val="FootnoteReference"/>
          <w:sz w:val="18"/>
          <w:szCs w:val="18"/>
        </w:rPr>
        <w:footnoteRef/>
      </w:r>
      <w:r w:rsidRPr="007C2180">
        <w:rPr>
          <w:sz w:val="18"/>
          <w:szCs w:val="18"/>
        </w:rPr>
        <w:t xml:space="preserve">   Kimberley Aboriginal Health Plan 2012-15 produced by the Kimberley Aboriginal Health Planning Forum 2012.</w:t>
      </w:r>
      <w:r>
        <w:t xml:space="preserve"> </w:t>
      </w:r>
    </w:p>
  </w:footnote>
  <w:footnote w:id="12">
    <w:p w:rsidR="00187AC9" w:rsidRPr="007C2180" w:rsidRDefault="00187AC9" w:rsidP="007C2180">
      <w:pPr>
        <w:pStyle w:val="FootnoteText"/>
        <w:jc w:val="left"/>
        <w:rPr>
          <w:sz w:val="18"/>
          <w:szCs w:val="18"/>
          <w:lang w:val="en-AU"/>
        </w:rPr>
      </w:pPr>
      <w:r w:rsidRPr="007C2180">
        <w:rPr>
          <w:rStyle w:val="FootnoteReference"/>
          <w:sz w:val="18"/>
          <w:szCs w:val="18"/>
        </w:rPr>
        <w:footnoteRef/>
      </w:r>
      <w:r w:rsidRPr="007C2180">
        <w:rPr>
          <w:sz w:val="18"/>
          <w:szCs w:val="18"/>
        </w:rPr>
        <w:t xml:space="preserve"> </w:t>
      </w:r>
      <w:r>
        <w:rPr>
          <w:sz w:val="18"/>
          <w:szCs w:val="18"/>
        </w:rPr>
        <w:t xml:space="preserve"> </w:t>
      </w:r>
      <w:r w:rsidRPr="007C2180">
        <w:rPr>
          <w:sz w:val="18"/>
          <w:szCs w:val="18"/>
        </w:rPr>
        <w:t xml:space="preserve"> Pereira</w:t>
      </w:r>
      <w:r>
        <w:rPr>
          <w:sz w:val="18"/>
          <w:szCs w:val="18"/>
        </w:rPr>
        <w:t>,</w:t>
      </w:r>
      <w:r w:rsidRPr="007C2180">
        <w:rPr>
          <w:sz w:val="18"/>
          <w:szCs w:val="18"/>
        </w:rPr>
        <w:t xml:space="preserve"> R</w:t>
      </w:r>
      <w:r>
        <w:rPr>
          <w:sz w:val="18"/>
          <w:szCs w:val="18"/>
        </w:rPr>
        <w:t>ushanthi</w:t>
      </w:r>
      <w:r w:rsidRPr="007C2180">
        <w:rPr>
          <w:sz w:val="18"/>
          <w:szCs w:val="18"/>
        </w:rPr>
        <w:t xml:space="preserve"> (2015) APSGN Look-back report. Kimberley Public Health Unit. </w:t>
      </w:r>
    </w:p>
  </w:footnote>
  <w:footnote w:id="13">
    <w:p w:rsidR="00187AC9" w:rsidRPr="00407506" w:rsidRDefault="00187AC9" w:rsidP="00407506">
      <w:pPr>
        <w:pStyle w:val="FootnoteText"/>
        <w:jc w:val="left"/>
        <w:rPr>
          <w:lang w:val="en-AU"/>
        </w:rPr>
      </w:pPr>
      <w:r>
        <w:rPr>
          <w:rStyle w:val="FootnoteReference"/>
        </w:rPr>
        <w:footnoteRef/>
      </w:r>
      <w:r>
        <w:t xml:space="preserve">   See data available from KPHU and Boab Health re Allied Health service delivery to remote communities</w:t>
      </w:r>
    </w:p>
  </w:footnote>
  <w:footnote w:id="14">
    <w:p w:rsidR="00187AC9" w:rsidRPr="00407506" w:rsidRDefault="00187AC9" w:rsidP="00407506">
      <w:pPr>
        <w:pStyle w:val="FootnoteText"/>
        <w:jc w:val="left"/>
        <w:rPr>
          <w:lang w:val="en-AU"/>
        </w:rPr>
      </w:pPr>
      <w:r>
        <w:rPr>
          <w:rStyle w:val="FootnoteReference"/>
        </w:rPr>
        <w:footnoteRef/>
      </w:r>
      <w:r>
        <w:t xml:space="preserve"> See the Oral Health </w:t>
      </w:r>
      <w:r w:rsidR="00060FF0">
        <w:t>Technical</w:t>
      </w:r>
      <w:r>
        <w:t xml:space="preserve"> paper developed by KAHPF in </w:t>
      </w:r>
      <w:r w:rsidR="00060FF0">
        <w:t>June</w:t>
      </w:r>
      <w: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187AC9">
    <w:pPr>
      <w:pStyle w:val="Header"/>
    </w:pPr>
    <w:r>
      <w:rPr>
        <w:noProof/>
        <w:lang w:val="en-AU" w:eastAsia="en-AU"/>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452360" cy="1176655"/>
              <wp:effectExtent l="0" t="2247900" r="0" b="218567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2360" cy="1176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7AC9" w:rsidRDefault="00187AC9" w:rsidP="00DA741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1 -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586.8pt;height:9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EhQIAAPwE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" o:allowincell="f" filled="f" stroked="f">
              <v:stroke joinstyle="round"/>
              <o:lock v:ext="edit" shapetype="t"/>
              <v:textbox style="mso-fit-shape-to-text:t">
                <w:txbxContent>
                  <w:p w:rsidR="00187AC9" w:rsidRDefault="00187AC9" w:rsidP="00DA741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 1 - CONFIDENTIAL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D4506B">
    <w:pPr>
      <w:pStyle w:val="Header"/>
      <w:jc w:val="right"/>
    </w:pPr>
    <w:sdt>
      <w:sdtPr>
        <w:id w:val="-35249066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2"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id w:val="546655467"/>
        <w:docPartObj>
          <w:docPartGallery w:val="Page Numbers (Top of Page)"/>
          <w:docPartUnique/>
        </w:docPartObj>
      </w:sdtPr>
      <w:sdtEndPr>
        <w:rPr>
          <w:noProof/>
        </w:rPr>
      </w:sdtEndPr>
      <w:sdtContent>
        <w:r w:rsidR="00187AC9">
          <w:fldChar w:fldCharType="begin"/>
        </w:r>
        <w:r w:rsidR="00187AC9">
          <w:instrText xml:space="preserve"> PAGE   \* MERGEFORMAT </w:instrText>
        </w:r>
        <w:r w:rsidR="00187AC9">
          <w:fldChar w:fldCharType="separate"/>
        </w:r>
        <w:r w:rsidR="000D20FC">
          <w:rPr>
            <w:noProof/>
          </w:rPr>
          <w:t>1</w:t>
        </w:r>
        <w:r w:rsidR="00187AC9">
          <w:rPr>
            <w:noProof/>
          </w:rPr>
          <w:fldChar w:fldCharType="end"/>
        </w:r>
      </w:sdtContent>
    </w:sdt>
  </w:p>
  <w:p w:rsidR="00187AC9" w:rsidRDefault="00187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9" w:rsidRDefault="0018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A38"/>
    <w:multiLevelType w:val="hybridMultilevel"/>
    <w:tmpl w:val="801C20FE"/>
    <w:lvl w:ilvl="0" w:tplc="32C6334E">
      <w:numFmt w:val="bullet"/>
      <w:lvlText w:val="•"/>
      <w:lvlJc w:val="left"/>
      <w:pPr>
        <w:ind w:left="720" w:hanging="360"/>
      </w:pPr>
      <w:rPr>
        <w:rFonts w:ascii="Calibri" w:eastAsiaTheme="minorHAnsi" w:hAnsi="Calibri" w:cs="Interstate-LightCondens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06135"/>
    <w:multiLevelType w:val="hybridMultilevel"/>
    <w:tmpl w:val="DB70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F512A"/>
    <w:multiLevelType w:val="hybridMultilevel"/>
    <w:tmpl w:val="F8FC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B1869"/>
    <w:multiLevelType w:val="hybridMultilevel"/>
    <w:tmpl w:val="A5CAB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5155F"/>
    <w:multiLevelType w:val="hybridMultilevel"/>
    <w:tmpl w:val="1904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A2B88"/>
    <w:multiLevelType w:val="hybridMultilevel"/>
    <w:tmpl w:val="6274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37B50"/>
    <w:multiLevelType w:val="hybridMultilevel"/>
    <w:tmpl w:val="13F2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96B3C"/>
    <w:multiLevelType w:val="hybridMultilevel"/>
    <w:tmpl w:val="8C4E16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AD9140B"/>
    <w:multiLevelType w:val="hybridMultilevel"/>
    <w:tmpl w:val="2260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90A36"/>
    <w:multiLevelType w:val="hybridMultilevel"/>
    <w:tmpl w:val="B7AA66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BF199D"/>
    <w:multiLevelType w:val="hybridMultilevel"/>
    <w:tmpl w:val="4188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83E66"/>
    <w:multiLevelType w:val="hybridMultilevel"/>
    <w:tmpl w:val="FC02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13E4"/>
    <w:multiLevelType w:val="hybridMultilevel"/>
    <w:tmpl w:val="E020DBF4"/>
    <w:lvl w:ilvl="0" w:tplc="0C090001">
      <w:start w:val="1"/>
      <w:numFmt w:val="bullet"/>
      <w:lvlText w:val=""/>
      <w:lvlJc w:val="left"/>
      <w:pPr>
        <w:ind w:left="720" w:hanging="360"/>
      </w:pPr>
      <w:rPr>
        <w:rFonts w:ascii="Symbol" w:hAnsi="Symbol" w:hint="default"/>
      </w:rPr>
    </w:lvl>
    <w:lvl w:ilvl="1" w:tplc="7C48496E">
      <w:numFmt w:val="bullet"/>
      <w:lvlText w:val="•"/>
      <w:lvlJc w:val="left"/>
      <w:pPr>
        <w:ind w:left="1440" w:hanging="360"/>
      </w:pPr>
      <w:rPr>
        <w:rFonts w:ascii="BookAntiqua" w:eastAsiaTheme="minorHAnsi" w:hAnsi="BookAntiqua" w:cs="BookAntiqu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7084"/>
    <w:multiLevelType w:val="hybridMultilevel"/>
    <w:tmpl w:val="AED4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95AF2"/>
    <w:multiLevelType w:val="hybridMultilevel"/>
    <w:tmpl w:val="D1AEBF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742FE3"/>
    <w:multiLevelType w:val="hybridMultilevel"/>
    <w:tmpl w:val="855A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8E3B8B"/>
    <w:multiLevelType w:val="hybridMultilevel"/>
    <w:tmpl w:val="05E4641C"/>
    <w:lvl w:ilvl="0" w:tplc="192034D4">
      <w:start w:val="1"/>
      <w:numFmt w:val="bullet"/>
      <w:lvlText w:val=""/>
      <w:lvlJc w:val="left"/>
      <w:pPr>
        <w:tabs>
          <w:tab w:val="num" w:pos="900"/>
        </w:tabs>
        <w:ind w:left="900" w:hanging="360"/>
      </w:pPr>
      <w:rPr>
        <w:rFonts w:ascii="Symbol" w:hAnsi="Symbol" w:cs="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6ED4400"/>
    <w:multiLevelType w:val="hybridMultilevel"/>
    <w:tmpl w:val="CB1C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2F4904"/>
    <w:multiLevelType w:val="hybridMultilevel"/>
    <w:tmpl w:val="D20EF20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15:restartNumberingAfterBreak="0">
    <w:nsid w:val="4BAF3ED5"/>
    <w:multiLevelType w:val="hybridMultilevel"/>
    <w:tmpl w:val="7D20CA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A7D12"/>
    <w:multiLevelType w:val="hybridMultilevel"/>
    <w:tmpl w:val="C22C89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4C06B1C"/>
    <w:multiLevelType w:val="hybridMultilevel"/>
    <w:tmpl w:val="C75A5C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68963E0"/>
    <w:multiLevelType w:val="hybridMultilevel"/>
    <w:tmpl w:val="7120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763A0"/>
    <w:multiLevelType w:val="hybridMultilevel"/>
    <w:tmpl w:val="8F509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71D223F"/>
    <w:multiLevelType w:val="hybridMultilevel"/>
    <w:tmpl w:val="E452C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034C3"/>
    <w:multiLevelType w:val="hybridMultilevel"/>
    <w:tmpl w:val="9942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55D7F"/>
    <w:multiLevelType w:val="hybridMultilevel"/>
    <w:tmpl w:val="4D401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B00333"/>
    <w:multiLevelType w:val="hybridMultilevel"/>
    <w:tmpl w:val="A728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707DAC"/>
    <w:multiLevelType w:val="hybridMultilevel"/>
    <w:tmpl w:val="ECFAC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C47CE"/>
    <w:multiLevelType w:val="hybridMultilevel"/>
    <w:tmpl w:val="E1AAB0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890D6C"/>
    <w:multiLevelType w:val="hybridMultilevel"/>
    <w:tmpl w:val="20AA70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6463D26"/>
    <w:multiLevelType w:val="hybridMultilevel"/>
    <w:tmpl w:val="3F168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8E00BC"/>
    <w:multiLevelType w:val="hybridMultilevel"/>
    <w:tmpl w:val="AEF8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BA5854"/>
    <w:multiLevelType w:val="hybridMultilevel"/>
    <w:tmpl w:val="A22C0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27"/>
  </w:num>
  <w:num w:numId="5">
    <w:abstractNumId w:val="17"/>
  </w:num>
  <w:num w:numId="6">
    <w:abstractNumId w:val="11"/>
  </w:num>
  <w:num w:numId="7">
    <w:abstractNumId w:val="3"/>
  </w:num>
  <w:num w:numId="8">
    <w:abstractNumId w:val="4"/>
  </w:num>
  <w:num w:numId="9">
    <w:abstractNumId w:val="33"/>
  </w:num>
  <w:num w:numId="10">
    <w:abstractNumId w:val="26"/>
  </w:num>
  <w:num w:numId="11">
    <w:abstractNumId w:val="13"/>
  </w:num>
  <w:num w:numId="12">
    <w:abstractNumId w:val="21"/>
  </w:num>
  <w:num w:numId="13">
    <w:abstractNumId w:val="23"/>
  </w:num>
  <w:num w:numId="14">
    <w:abstractNumId w:val="15"/>
  </w:num>
  <w:num w:numId="15">
    <w:abstractNumId w:val="12"/>
  </w:num>
  <w:num w:numId="16">
    <w:abstractNumId w:val="32"/>
  </w:num>
  <w:num w:numId="17">
    <w:abstractNumId w:val="7"/>
  </w:num>
  <w:num w:numId="18">
    <w:abstractNumId w:val="1"/>
  </w:num>
  <w:num w:numId="19">
    <w:abstractNumId w:val="6"/>
  </w:num>
  <w:num w:numId="20">
    <w:abstractNumId w:val="16"/>
  </w:num>
  <w:num w:numId="21">
    <w:abstractNumId w:val="20"/>
  </w:num>
  <w:num w:numId="22">
    <w:abstractNumId w:val="28"/>
  </w:num>
  <w:num w:numId="23">
    <w:abstractNumId w:val="25"/>
  </w:num>
  <w:num w:numId="24">
    <w:abstractNumId w:val="24"/>
  </w:num>
  <w:num w:numId="25">
    <w:abstractNumId w:val="19"/>
  </w:num>
  <w:num w:numId="26">
    <w:abstractNumId w:val="14"/>
  </w:num>
  <w:num w:numId="27">
    <w:abstractNumId w:val="29"/>
  </w:num>
  <w:num w:numId="28">
    <w:abstractNumId w:val="9"/>
  </w:num>
  <w:num w:numId="29">
    <w:abstractNumId w:val="31"/>
  </w:num>
  <w:num w:numId="30">
    <w:abstractNumId w:val="10"/>
  </w:num>
  <w:num w:numId="31">
    <w:abstractNumId w:val="0"/>
  </w:num>
  <w:num w:numId="32">
    <w:abstractNumId w:val="2"/>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9B"/>
    <w:rsid w:val="000014C6"/>
    <w:rsid w:val="0000321B"/>
    <w:rsid w:val="00004069"/>
    <w:rsid w:val="00004C82"/>
    <w:rsid w:val="0000527B"/>
    <w:rsid w:val="00006499"/>
    <w:rsid w:val="000077D5"/>
    <w:rsid w:val="0001029E"/>
    <w:rsid w:val="00010D6C"/>
    <w:rsid w:val="00011055"/>
    <w:rsid w:val="00012E4B"/>
    <w:rsid w:val="000131D6"/>
    <w:rsid w:val="00013F6B"/>
    <w:rsid w:val="00014A70"/>
    <w:rsid w:val="00015392"/>
    <w:rsid w:val="000200B3"/>
    <w:rsid w:val="00021597"/>
    <w:rsid w:val="00022F16"/>
    <w:rsid w:val="00023584"/>
    <w:rsid w:val="0002625A"/>
    <w:rsid w:val="00026732"/>
    <w:rsid w:val="00027E84"/>
    <w:rsid w:val="00027F39"/>
    <w:rsid w:val="00027FD2"/>
    <w:rsid w:val="00030E59"/>
    <w:rsid w:val="00036668"/>
    <w:rsid w:val="00036BEC"/>
    <w:rsid w:val="00037DE1"/>
    <w:rsid w:val="00037EC8"/>
    <w:rsid w:val="00041FFD"/>
    <w:rsid w:val="00043995"/>
    <w:rsid w:val="00045E09"/>
    <w:rsid w:val="000466AC"/>
    <w:rsid w:val="000475A5"/>
    <w:rsid w:val="0005357F"/>
    <w:rsid w:val="000567D4"/>
    <w:rsid w:val="000574F0"/>
    <w:rsid w:val="00060FF0"/>
    <w:rsid w:val="00061B29"/>
    <w:rsid w:val="000641C1"/>
    <w:rsid w:val="00067197"/>
    <w:rsid w:val="00073E97"/>
    <w:rsid w:val="0007528F"/>
    <w:rsid w:val="0008141A"/>
    <w:rsid w:val="00083581"/>
    <w:rsid w:val="0008564E"/>
    <w:rsid w:val="000856E7"/>
    <w:rsid w:val="00086280"/>
    <w:rsid w:val="00086872"/>
    <w:rsid w:val="00090A34"/>
    <w:rsid w:val="00090FC4"/>
    <w:rsid w:val="000920CA"/>
    <w:rsid w:val="000922A0"/>
    <w:rsid w:val="00093389"/>
    <w:rsid w:val="00093C21"/>
    <w:rsid w:val="00093E12"/>
    <w:rsid w:val="00095C95"/>
    <w:rsid w:val="00095DF2"/>
    <w:rsid w:val="000A3033"/>
    <w:rsid w:val="000A38EF"/>
    <w:rsid w:val="000A4113"/>
    <w:rsid w:val="000A4CA5"/>
    <w:rsid w:val="000A509F"/>
    <w:rsid w:val="000A5FE8"/>
    <w:rsid w:val="000A7C13"/>
    <w:rsid w:val="000B046B"/>
    <w:rsid w:val="000B1525"/>
    <w:rsid w:val="000B35C1"/>
    <w:rsid w:val="000B4064"/>
    <w:rsid w:val="000B6CBC"/>
    <w:rsid w:val="000B6E8D"/>
    <w:rsid w:val="000C0825"/>
    <w:rsid w:val="000C1D71"/>
    <w:rsid w:val="000C3BDC"/>
    <w:rsid w:val="000C5387"/>
    <w:rsid w:val="000C578C"/>
    <w:rsid w:val="000C5C4F"/>
    <w:rsid w:val="000C67AF"/>
    <w:rsid w:val="000C726B"/>
    <w:rsid w:val="000D20FC"/>
    <w:rsid w:val="000D26C2"/>
    <w:rsid w:val="000D321B"/>
    <w:rsid w:val="000D328C"/>
    <w:rsid w:val="000D5A88"/>
    <w:rsid w:val="000D7F86"/>
    <w:rsid w:val="000E0D43"/>
    <w:rsid w:val="000E25BB"/>
    <w:rsid w:val="000E6AF6"/>
    <w:rsid w:val="000E7CA8"/>
    <w:rsid w:val="000F183A"/>
    <w:rsid w:val="000F1ED1"/>
    <w:rsid w:val="000F2103"/>
    <w:rsid w:val="000F29B5"/>
    <w:rsid w:val="000F3993"/>
    <w:rsid w:val="000F4665"/>
    <w:rsid w:val="000F77A1"/>
    <w:rsid w:val="00100B4A"/>
    <w:rsid w:val="001018BE"/>
    <w:rsid w:val="00103234"/>
    <w:rsid w:val="0010747D"/>
    <w:rsid w:val="00113FD9"/>
    <w:rsid w:val="00114611"/>
    <w:rsid w:val="001177ED"/>
    <w:rsid w:val="00120C04"/>
    <w:rsid w:val="001215CB"/>
    <w:rsid w:val="00126830"/>
    <w:rsid w:val="00126A6D"/>
    <w:rsid w:val="00127B28"/>
    <w:rsid w:val="00127D55"/>
    <w:rsid w:val="00131D78"/>
    <w:rsid w:val="00136E2D"/>
    <w:rsid w:val="00137641"/>
    <w:rsid w:val="001405AB"/>
    <w:rsid w:val="001406B9"/>
    <w:rsid w:val="001444DB"/>
    <w:rsid w:val="00150675"/>
    <w:rsid w:val="001527A4"/>
    <w:rsid w:val="00153139"/>
    <w:rsid w:val="001544FE"/>
    <w:rsid w:val="00154B19"/>
    <w:rsid w:val="0016120F"/>
    <w:rsid w:val="00162613"/>
    <w:rsid w:val="00164DC9"/>
    <w:rsid w:val="00165131"/>
    <w:rsid w:val="00165757"/>
    <w:rsid w:val="001664AA"/>
    <w:rsid w:val="001667E4"/>
    <w:rsid w:val="00170DBE"/>
    <w:rsid w:val="00171402"/>
    <w:rsid w:val="00171DF5"/>
    <w:rsid w:val="00172FBE"/>
    <w:rsid w:val="00173670"/>
    <w:rsid w:val="00174B4C"/>
    <w:rsid w:val="00175D74"/>
    <w:rsid w:val="00181844"/>
    <w:rsid w:val="00182A5E"/>
    <w:rsid w:val="001848FA"/>
    <w:rsid w:val="00184D0E"/>
    <w:rsid w:val="0018569F"/>
    <w:rsid w:val="00187AC9"/>
    <w:rsid w:val="00190C61"/>
    <w:rsid w:val="0019101D"/>
    <w:rsid w:val="0019196C"/>
    <w:rsid w:val="00194251"/>
    <w:rsid w:val="00194863"/>
    <w:rsid w:val="00194988"/>
    <w:rsid w:val="00197E61"/>
    <w:rsid w:val="001A5680"/>
    <w:rsid w:val="001A5CCB"/>
    <w:rsid w:val="001A722D"/>
    <w:rsid w:val="001B03F6"/>
    <w:rsid w:val="001B0D0C"/>
    <w:rsid w:val="001B2BEB"/>
    <w:rsid w:val="001B3E1F"/>
    <w:rsid w:val="001B3F81"/>
    <w:rsid w:val="001B4904"/>
    <w:rsid w:val="001C29B4"/>
    <w:rsid w:val="001C48BB"/>
    <w:rsid w:val="001C5D52"/>
    <w:rsid w:val="001D09A7"/>
    <w:rsid w:val="001D3039"/>
    <w:rsid w:val="001D37E6"/>
    <w:rsid w:val="001E2837"/>
    <w:rsid w:val="001E38E6"/>
    <w:rsid w:val="001E429C"/>
    <w:rsid w:val="001E51A6"/>
    <w:rsid w:val="001E5A45"/>
    <w:rsid w:val="001F5F4C"/>
    <w:rsid w:val="001F60BE"/>
    <w:rsid w:val="00200C3F"/>
    <w:rsid w:val="00201EE8"/>
    <w:rsid w:val="002027C6"/>
    <w:rsid w:val="0020313B"/>
    <w:rsid w:val="00207573"/>
    <w:rsid w:val="00210283"/>
    <w:rsid w:val="0021608D"/>
    <w:rsid w:val="00216099"/>
    <w:rsid w:val="002164C8"/>
    <w:rsid w:val="00220E0E"/>
    <w:rsid w:val="002218CE"/>
    <w:rsid w:val="00222E7E"/>
    <w:rsid w:val="00223107"/>
    <w:rsid w:val="002256D2"/>
    <w:rsid w:val="00227B91"/>
    <w:rsid w:val="00227F2E"/>
    <w:rsid w:val="0023296D"/>
    <w:rsid w:val="00235A74"/>
    <w:rsid w:val="00236170"/>
    <w:rsid w:val="0023619D"/>
    <w:rsid w:val="0023622C"/>
    <w:rsid w:val="00236888"/>
    <w:rsid w:val="00241E57"/>
    <w:rsid w:val="00245A17"/>
    <w:rsid w:val="002460D7"/>
    <w:rsid w:val="002511A9"/>
    <w:rsid w:val="00251BC7"/>
    <w:rsid w:val="00255385"/>
    <w:rsid w:val="00255509"/>
    <w:rsid w:val="002604C0"/>
    <w:rsid w:val="00260634"/>
    <w:rsid w:val="00260D2E"/>
    <w:rsid w:val="002628A2"/>
    <w:rsid w:val="00262C89"/>
    <w:rsid w:val="00263308"/>
    <w:rsid w:val="00264422"/>
    <w:rsid w:val="0026698A"/>
    <w:rsid w:val="00267E1E"/>
    <w:rsid w:val="00270C3B"/>
    <w:rsid w:val="00271999"/>
    <w:rsid w:val="002735C0"/>
    <w:rsid w:val="002739B6"/>
    <w:rsid w:val="00275E0E"/>
    <w:rsid w:val="00281BCE"/>
    <w:rsid w:val="00281FFB"/>
    <w:rsid w:val="00284DCC"/>
    <w:rsid w:val="00287FD3"/>
    <w:rsid w:val="00290795"/>
    <w:rsid w:val="00290BB3"/>
    <w:rsid w:val="002928BC"/>
    <w:rsid w:val="00294EEC"/>
    <w:rsid w:val="002969D4"/>
    <w:rsid w:val="002977A1"/>
    <w:rsid w:val="002A03DE"/>
    <w:rsid w:val="002A066C"/>
    <w:rsid w:val="002A3927"/>
    <w:rsid w:val="002A6B40"/>
    <w:rsid w:val="002A7C4D"/>
    <w:rsid w:val="002A7CC6"/>
    <w:rsid w:val="002B2E21"/>
    <w:rsid w:val="002B35C3"/>
    <w:rsid w:val="002B5486"/>
    <w:rsid w:val="002B5CEB"/>
    <w:rsid w:val="002C0267"/>
    <w:rsid w:val="002C0ED4"/>
    <w:rsid w:val="002C20C9"/>
    <w:rsid w:val="002C2819"/>
    <w:rsid w:val="002C3172"/>
    <w:rsid w:val="002C3CA0"/>
    <w:rsid w:val="002C46AD"/>
    <w:rsid w:val="002C50E0"/>
    <w:rsid w:val="002C5C38"/>
    <w:rsid w:val="002C7131"/>
    <w:rsid w:val="002D1E74"/>
    <w:rsid w:val="002D29E7"/>
    <w:rsid w:val="002D6470"/>
    <w:rsid w:val="002E0086"/>
    <w:rsid w:val="002E12BF"/>
    <w:rsid w:val="002E39A3"/>
    <w:rsid w:val="002E39FB"/>
    <w:rsid w:val="002E6704"/>
    <w:rsid w:val="002E69B0"/>
    <w:rsid w:val="002E6AAE"/>
    <w:rsid w:val="002F15CF"/>
    <w:rsid w:val="002F2978"/>
    <w:rsid w:val="002F2DD1"/>
    <w:rsid w:val="002F5E24"/>
    <w:rsid w:val="002F6F13"/>
    <w:rsid w:val="002F7A97"/>
    <w:rsid w:val="00302710"/>
    <w:rsid w:val="00302936"/>
    <w:rsid w:val="00304208"/>
    <w:rsid w:val="003047CA"/>
    <w:rsid w:val="00304947"/>
    <w:rsid w:val="0030690F"/>
    <w:rsid w:val="0030692F"/>
    <w:rsid w:val="00312A03"/>
    <w:rsid w:val="0031313D"/>
    <w:rsid w:val="003143AE"/>
    <w:rsid w:val="00315E4B"/>
    <w:rsid w:val="00317880"/>
    <w:rsid w:val="003179CA"/>
    <w:rsid w:val="00317AE1"/>
    <w:rsid w:val="00320803"/>
    <w:rsid w:val="00320AC9"/>
    <w:rsid w:val="00322963"/>
    <w:rsid w:val="00324E1F"/>
    <w:rsid w:val="0032568E"/>
    <w:rsid w:val="00330EC7"/>
    <w:rsid w:val="00331E41"/>
    <w:rsid w:val="003328F9"/>
    <w:rsid w:val="00334378"/>
    <w:rsid w:val="0033494E"/>
    <w:rsid w:val="003357D7"/>
    <w:rsid w:val="003363BB"/>
    <w:rsid w:val="003363E6"/>
    <w:rsid w:val="00336DA2"/>
    <w:rsid w:val="0034024E"/>
    <w:rsid w:val="003423D3"/>
    <w:rsid w:val="003431C4"/>
    <w:rsid w:val="00344737"/>
    <w:rsid w:val="003452D5"/>
    <w:rsid w:val="00346911"/>
    <w:rsid w:val="00347274"/>
    <w:rsid w:val="003479D1"/>
    <w:rsid w:val="00347AAC"/>
    <w:rsid w:val="00351BCD"/>
    <w:rsid w:val="00352459"/>
    <w:rsid w:val="00353EA4"/>
    <w:rsid w:val="00354B5A"/>
    <w:rsid w:val="0035731E"/>
    <w:rsid w:val="003606A4"/>
    <w:rsid w:val="00361183"/>
    <w:rsid w:val="003625DB"/>
    <w:rsid w:val="003627E7"/>
    <w:rsid w:val="003652FE"/>
    <w:rsid w:val="00365D6B"/>
    <w:rsid w:val="003663B1"/>
    <w:rsid w:val="00370995"/>
    <w:rsid w:val="00373449"/>
    <w:rsid w:val="00375B8D"/>
    <w:rsid w:val="003776D2"/>
    <w:rsid w:val="003817CF"/>
    <w:rsid w:val="003824EC"/>
    <w:rsid w:val="00382A11"/>
    <w:rsid w:val="00382ADA"/>
    <w:rsid w:val="00384BF5"/>
    <w:rsid w:val="00390934"/>
    <w:rsid w:val="00390AE1"/>
    <w:rsid w:val="00391444"/>
    <w:rsid w:val="0039170C"/>
    <w:rsid w:val="003926F2"/>
    <w:rsid w:val="00394834"/>
    <w:rsid w:val="003A0D0A"/>
    <w:rsid w:val="003A1540"/>
    <w:rsid w:val="003A2E36"/>
    <w:rsid w:val="003A35D4"/>
    <w:rsid w:val="003A4989"/>
    <w:rsid w:val="003A55A8"/>
    <w:rsid w:val="003A57B5"/>
    <w:rsid w:val="003B0602"/>
    <w:rsid w:val="003B0FA0"/>
    <w:rsid w:val="003B169F"/>
    <w:rsid w:val="003B2DC5"/>
    <w:rsid w:val="003B397A"/>
    <w:rsid w:val="003B512A"/>
    <w:rsid w:val="003B53C3"/>
    <w:rsid w:val="003B5550"/>
    <w:rsid w:val="003B6592"/>
    <w:rsid w:val="003C344D"/>
    <w:rsid w:val="003C3F4C"/>
    <w:rsid w:val="003C5215"/>
    <w:rsid w:val="003C6604"/>
    <w:rsid w:val="003D1E65"/>
    <w:rsid w:val="003D2891"/>
    <w:rsid w:val="003D2D1B"/>
    <w:rsid w:val="003D33AC"/>
    <w:rsid w:val="003D39E6"/>
    <w:rsid w:val="003D4C63"/>
    <w:rsid w:val="003D62BE"/>
    <w:rsid w:val="003D674C"/>
    <w:rsid w:val="003E092D"/>
    <w:rsid w:val="003E2229"/>
    <w:rsid w:val="003E3595"/>
    <w:rsid w:val="003E7AA6"/>
    <w:rsid w:val="003F0545"/>
    <w:rsid w:val="003F28E6"/>
    <w:rsid w:val="003F578D"/>
    <w:rsid w:val="003F772B"/>
    <w:rsid w:val="0040057D"/>
    <w:rsid w:val="00400938"/>
    <w:rsid w:val="004032D8"/>
    <w:rsid w:val="00404EAE"/>
    <w:rsid w:val="00404F9C"/>
    <w:rsid w:val="00406597"/>
    <w:rsid w:val="00407506"/>
    <w:rsid w:val="004100E4"/>
    <w:rsid w:val="0041045F"/>
    <w:rsid w:val="0041061C"/>
    <w:rsid w:val="00410B89"/>
    <w:rsid w:val="00410E41"/>
    <w:rsid w:val="00411510"/>
    <w:rsid w:val="004129AE"/>
    <w:rsid w:val="00412C6D"/>
    <w:rsid w:val="004130BC"/>
    <w:rsid w:val="00413855"/>
    <w:rsid w:val="00413961"/>
    <w:rsid w:val="00413A9B"/>
    <w:rsid w:val="00414BE6"/>
    <w:rsid w:val="004217B5"/>
    <w:rsid w:val="00421887"/>
    <w:rsid w:val="004221BE"/>
    <w:rsid w:val="00422E58"/>
    <w:rsid w:val="00424871"/>
    <w:rsid w:val="004301D3"/>
    <w:rsid w:val="0043045C"/>
    <w:rsid w:val="004327D4"/>
    <w:rsid w:val="00432AAD"/>
    <w:rsid w:val="00437367"/>
    <w:rsid w:val="00440124"/>
    <w:rsid w:val="00443F6C"/>
    <w:rsid w:val="00444AD7"/>
    <w:rsid w:val="00444C54"/>
    <w:rsid w:val="00444D8A"/>
    <w:rsid w:val="00445DFA"/>
    <w:rsid w:val="00446271"/>
    <w:rsid w:val="004466F4"/>
    <w:rsid w:val="004468FE"/>
    <w:rsid w:val="00447183"/>
    <w:rsid w:val="00447DF9"/>
    <w:rsid w:val="0045170A"/>
    <w:rsid w:val="00451AB5"/>
    <w:rsid w:val="0045319F"/>
    <w:rsid w:val="00453B30"/>
    <w:rsid w:val="004568A3"/>
    <w:rsid w:val="004575D3"/>
    <w:rsid w:val="004577F9"/>
    <w:rsid w:val="00461362"/>
    <w:rsid w:val="00461EE6"/>
    <w:rsid w:val="00470E9D"/>
    <w:rsid w:val="00472CFC"/>
    <w:rsid w:val="00474A66"/>
    <w:rsid w:val="004757E3"/>
    <w:rsid w:val="00477917"/>
    <w:rsid w:val="00477D01"/>
    <w:rsid w:val="00477D80"/>
    <w:rsid w:val="00480CF5"/>
    <w:rsid w:val="0048248F"/>
    <w:rsid w:val="00482853"/>
    <w:rsid w:val="00493446"/>
    <w:rsid w:val="0049360F"/>
    <w:rsid w:val="00494043"/>
    <w:rsid w:val="0049490E"/>
    <w:rsid w:val="00494F83"/>
    <w:rsid w:val="00495EBE"/>
    <w:rsid w:val="0049677A"/>
    <w:rsid w:val="004969C3"/>
    <w:rsid w:val="00496D54"/>
    <w:rsid w:val="004A167E"/>
    <w:rsid w:val="004A23A7"/>
    <w:rsid w:val="004A31A5"/>
    <w:rsid w:val="004A363A"/>
    <w:rsid w:val="004A40F7"/>
    <w:rsid w:val="004A5453"/>
    <w:rsid w:val="004A63FB"/>
    <w:rsid w:val="004A6D11"/>
    <w:rsid w:val="004A71A9"/>
    <w:rsid w:val="004A727E"/>
    <w:rsid w:val="004B012E"/>
    <w:rsid w:val="004B33FE"/>
    <w:rsid w:val="004B4B5E"/>
    <w:rsid w:val="004B5E13"/>
    <w:rsid w:val="004C0764"/>
    <w:rsid w:val="004C09C3"/>
    <w:rsid w:val="004C1902"/>
    <w:rsid w:val="004C1F58"/>
    <w:rsid w:val="004C3662"/>
    <w:rsid w:val="004C5972"/>
    <w:rsid w:val="004C5A3E"/>
    <w:rsid w:val="004C7E69"/>
    <w:rsid w:val="004D151C"/>
    <w:rsid w:val="004D1654"/>
    <w:rsid w:val="004D177A"/>
    <w:rsid w:val="004D1DF3"/>
    <w:rsid w:val="004D39D5"/>
    <w:rsid w:val="004D48D6"/>
    <w:rsid w:val="004D4A3F"/>
    <w:rsid w:val="004D4E89"/>
    <w:rsid w:val="004D5447"/>
    <w:rsid w:val="004D6311"/>
    <w:rsid w:val="004D68FA"/>
    <w:rsid w:val="004E348E"/>
    <w:rsid w:val="004E63CF"/>
    <w:rsid w:val="004E72A9"/>
    <w:rsid w:val="004E7849"/>
    <w:rsid w:val="004F079E"/>
    <w:rsid w:val="004F53FA"/>
    <w:rsid w:val="004F58C2"/>
    <w:rsid w:val="004F73D7"/>
    <w:rsid w:val="00502916"/>
    <w:rsid w:val="005030F1"/>
    <w:rsid w:val="00504A3D"/>
    <w:rsid w:val="00505B2B"/>
    <w:rsid w:val="0050615F"/>
    <w:rsid w:val="005063F1"/>
    <w:rsid w:val="00507AE1"/>
    <w:rsid w:val="00511152"/>
    <w:rsid w:val="005113A5"/>
    <w:rsid w:val="00513CCE"/>
    <w:rsid w:val="00514F16"/>
    <w:rsid w:val="0052101A"/>
    <w:rsid w:val="005213D6"/>
    <w:rsid w:val="00523299"/>
    <w:rsid w:val="00523645"/>
    <w:rsid w:val="00523C34"/>
    <w:rsid w:val="00525BCC"/>
    <w:rsid w:val="00530B3F"/>
    <w:rsid w:val="00531B7A"/>
    <w:rsid w:val="00537D94"/>
    <w:rsid w:val="00540186"/>
    <w:rsid w:val="00541AFF"/>
    <w:rsid w:val="00542CA4"/>
    <w:rsid w:val="00542CB5"/>
    <w:rsid w:val="00543C24"/>
    <w:rsid w:val="005453B5"/>
    <w:rsid w:val="00545DCF"/>
    <w:rsid w:val="00556383"/>
    <w:rsid w:val="00557653"/>
    <w:rsid w:val="00560D23"/>
    <w:rsid w:val="00562678"/>
    <w:rsid w:val="00562699"/>
    <w:rsid w:val="005638D3"/>
    <w:rsid w:val="00566352"/>
    <w:rsid w:val="00570D63"/>
    <w:rsid w:val="00571DBE"/>
    <w:rsid w:val="00572536"/>
    <w:rsid w:val="00572C93"/>
    <w:rsid w:val="00573D2B"/>
    <w:rsid w:val="00576FB2"/>
    <w:rsid w:val="00577EAE"/>
    <w:rsid w:val="0058081E"/>
    <w:rsid w:val="00581C80"/>
    <w:rsid w:val="005822D9"/>
    <w:rsid w:val="005829F8"/>
    <w:rsid w:val="0058319F"/>
    <w:rsid w:val="0058355C"/>
    <w:rsid w:val="0058464A"/>
    <w:rsid w:val="00586CE7"/>
    <w:rsid w:val="005906B6"/>
    <w:rsid w:val="00590ED8"/>
    <w:rsid w:val="0059119B"/>
    <w:rsid w:val="00592853"/>
    <w:rsid w:val="00592A02"/>
    <w:rsid w:val="00593E88"/>
    <w:rsid w:val="005942EA"/>
    <w:rsid w:val="005948EB"/>
    <w:rsid w:val="00595750"/>
    <w:rsid w:val="00596294"/>
    <w:rsid w:val="00596D1F"/>
    <w:rsid w:val="005A151A"/>
    <w:rsid w:val="005A1B02"/>
    <w:rsid w:val="005A3D68"/>
    <w:rsid w:val="005A42CF"/>
    <w:rsid w:val="005A44C2"/>
    <w:rsid w:val="005B07EE"/>
    <w:rsid w:val="005B5248"/>
    <w:rsid w:val="005B581A"/>
    <w:rsid w:val="005B6B60"/>
    <w:rsid w:val="005B7E28"/>
    <w:rsid w:val="005C03FF"/>
    <w:rsid w:val="005C0E24"/>
    <w:rsid w:val="005D111C"/>
    <w:rsid w:val="005D2141"/>
    <w:rsid w:val="005D45B8"/>
    <w:rsid w:val="005D4A94"/>
    <w:rsid w:val="005D4D79"/>
    <w:rsid w:val="005D5795"/>
    <w:rsid w:val="005D6B7F"/>
    <w:rsid w:val="005E0345"/>
    <w:rsid w:val="005E34B4"/>
    <w:rsid w:val="005F0FC1"/>
    <w:rsid w:val="005F1B49"/>
    <w:rsid w:val="005F3722"/>
    <w:rsid w:val="005F3F4A"/>
    <w:rsid w:val="005F689E"/>
    <w:rsid w:val="005F6D0D"/>
    <w:rsid w:val="00603127"/>
    <w:rsid w:val="00603BB6"/>
    <w:rsid w:val="00606BA6"/>
    <w:rsid w:val="00606EBB"/>
    <w:rsid w:val="006076A5"/>
    <w:rsid w:val="00607E4F"/>
    <w:rsid w:val="00610CB0"/>
    <w:rsid w:val="00617199"/>
    <w:rsid w:val="006171C0"/>
    <w:rsid w:val="006221CF"/>
    <w:rsid w:val="0062360B"/>
    <w:rsid w:val="006242BC"/>
    <w:rsid w:val="00624C21"/>
    <w:rsid w:val="00630705"/>
    <w:rsid w:val="006312AB"/>
    <w:rsid w:val="0063142F"/>
    <w:rsid w:val="006328A9"/>
    <w:rsid w:val="00632B9B"/>
    <w:rsid w:val="00633120"/>
    <w:rsid w:val="00636703"/>
    <w:rsid w:val="00636B14"/>
    <w:rsid w:val="006378C3"/>
    <w:rsid w:val="00640828"/>
    <w:rsid w:val="00641143"/>
    <w:rsid w:val="00643274"/>
    <w:rsid w:val="00643AF8"/>
    <w:rsid w:val="0064529C"/>
    <w:rsid w:val="00647A45"/>
    <w:rsid w:val="00650EC2"/>
    <w:rsid w:val="0065352F"/>
    <w:rsid w:val="00654EAE"/>
    <w:rsid w:val="006555B0"/>
    <w:rsid w:val="006556BF"/>
    <w:rsid w:val="006560A1"/>
    <w:rsid w:val="00657B30"/>
    <w:rsid w:val="00657F0B"/>
    <w:rsid w:val="006604A6"/>
    <w:rsid w:val="0066087B"/>
    <w:rsid w:val="00663D30"/>
    <w:rsid w:val="00663EE2"/>
    <w:rsid w:val="0066549F"/>
    <w:rsid w:val="0066674B"/>
    <w:rsid w:val="00671902"/>
    <w:rsid w:val="00671EBF"/>
    <w:rsid w:val="006727CB"/>
    <w:rsid w:val="00672FE6"/>
    <w:rsid w:val="00673340"/>
    <w:rsid w:val="006737AD"/>
    <w:rsid w:val="006740A4"/>
    <w:rsid w:val="0067419B"/>
    <w:rsid w:val="00674C2A"/>
    <w:rsid w:val="00674C35"/>
    <w:rsid w:val="00674F06"/>
    <w:rsid w:val="00680460"/>
    <w:rsid w:val="0068072E"/>
    <w:rsid w:val="00683CD8"/>
    <w:rsid w:val="006848A2"/>
    <w:rsid w:val="0068490F"/>
    <w:rsid w:val="0068537D"/>
    <w:rsid w:val="00686DC6"/>
    <w:rsid w:val="0068784B"/>
    <w:rsid w:val="00693610"/>
    <w:rsid w:val="006968D8"/>
    <w:rsid w:val="006A010E"/>
    <w:rsid w:val="006A4947"/>
    <w:rsid w:val="006A4D67"/>
    <w:rsid w:val="006A5F6E"/>
    <w:rsid w:val="006B1630"/>
    <w:rsid w:val="006B40C8"/>
    <w:rsid w:val="006B40F0"/>
    <w:rsid w:val="006B438B"/>
    <w:rsid w:val="006B61A4"/>
    <w:rsid w:val="006C395F"/>
    <w:rsid w:val="006C3D5D"/>
    <w:rsid w:val="006C43E7"/>
    <w:rsid w:val="006C4EF4"/>
    <w:rsid w:val="006C50B7"/>
    <w:rsid w:val="006C5CCE"/>
    <w:rsid w:val="006C70C0"/>
    <w:rsid w:val="006C7F5D"/>
    <w:rsid w:val="006D0690"/>
    <w:rsid w:val="006D1B6E"/>
    <w:rsid w:val="006D22D5"/>
    <w:rsid w:val="006D2494"/>
    <w:rsid w:val="006D5EDE"/>
    <w:rsid w:val="006D68B7"/>
    <w:rsid w:val="006E1509"/>
    <w:rsid w:val="006E3486"/>
    <w:rsid w:val="006E639B"/>
    <w:rsid w:val="006E65E1"/>
    <w:rsid w:val="006F18B9"/>
    <w:rsid w:val="006F1B5E"/>
    <w:rsid w:val="006F20B4"/>
    <w:rsid w:val="006F2BF7"/>
    <w:rsid w:val="006F2E11"/>
    <w:rsid w:val="006F324C"/>
    <w:rsid w:val="006F36B6"/>
    <w:rsid w:val="006F4BA5"/>
    <w:rsid w:val="006F5833"/>
    <w:rsid w:val="006F7365"/>
    <w:rsid w:val="006F7CC0"/>
    <w:rsid w:val="006F7E45"/>
    <w:rsid w:val="00700881"/>
    <w:rsid w:val="007029C9"/>
    <w:rsid w:val="00704C53"/>
    <w:rsid w:val="00704CF6"/>
    <w:rsid w:val="007065CB"/>
    <w:rsid w:val="00706D5E"/>
    <w:rsid w:val="00707733"/>
    <w:rsid w:val="00707867"/>
    <w:rsid w:val="00711923"/>
    <w:rsid w:val="0071410A"/>
    <w:rsid w:val="00716362"/>
    <w:rsid w:val="0071767C"/>
    <w:rsid w:val="00720B4F"/>
    <w:rsid w:val="007221E4"/>
    <w:rsid w:val="00722FB7"/>
    <w:rsid w:val="00723434"/>
    <w:rsid w:val="00723B70"/>
    <w:rsid w:val="00734653"/>
    <w:rsid w:val="00735D19"/>
    <w:rsid w:val="00735FA0"/>
    <w:rsid w:val="0074007A"/>
    <w:rsid w:val="00742673"/>
    <w:rsid w:val="00743249"/>
    <w:rsid w:val="0074765D"/>
    <w:rsid w:val="00750B36"/>
    <w:rsid w:val="00750F6C"/>
    <w:rsid w:val="0075378F"/>
    <w:rsid w:val="00755AC0"/>
    <w:rsid w:val="00756369"/>
    <w:rsid w:val="007574BF"/>
    <w:rsid w:val="00760F9A"/>
    <w:rsid w:val="00761488"/>
    <w:rsid w:val="00761841"/>
    <w:rsid w:val="007621EB"/>
    <w:rsid w:val="00762207"/>
    <w:rsid w:val="00764BED"/>
    <w:rsid w:val="007658F9"/>
    <w:rsid w:val="0077028A"/>
    <w:rsid w:val="0077229A"/>
    <w:rsid w:val="0077433E"/>
    <w:rsid w:val="007772B4"/>
    <w:rsid w:val="007839C2"/>
    <w:rsid w:val="00785338"/>
    <w:rsid w:val="00785A80"/>
    <w:rsid w:val="007863AB"/>
    <w:rsid w:val="00790D9E"/>
    <w:rsid w:val="00792575"/>
    <w:rsid w:val="00794DA6"/>
    <w:rsid w:val="00795544"/>
    <w:rsid w:val="007A0475"/>
    <w:rsid w:val="007A47E5"/>
    <w:rsid w:val="007A74B5"/>
    <w:rsid w:val="007A7A62"/>
    <w:rsid w:val="007B0D85"/>
    <w:rsid w:val="007B1366"/>
    <w:rsid w:val="007B1D78"/>
    <w:rsid w:val="007B2C22"/>
    <w:rsid w:val="007B4B69"/>
    <w:rsid w:val="007B4E50"/>
    <w:rsid w:val="007B6F45"/>
    <w:rsid w:val="007C2180"/>
    <w:rsid w:val="007C36F7"/>
    <w:rsid w:val="007C6474"/>
    <w:rsid w:val="007C694C"/>
    <w:rsid w:val="007C7DB3"/>
    <w:rsid w:val="007D0084"/>
    <w:rsid w:val="007D2047"/>
    <w:rsid w:val="007D2884"/>
    <w:rsid w:val="007D2B1E"/>
    <w:rsid w:val="007D37B7"/>
    <w:rsid w:val="007D59C7"/>
    <w:rsid w:val="007D6637"/>
    <w:rsid w:val="007D78A9"/>
    <w:rsid w:val="007E1158"/>
    <w:rsid w:val="007E4202"/>
    <w:rsid w:val="007E4262"/>
    <w:rsid w:val="007E5A37"/>
    <w:rsid w:val="007E5BF1"/>
    <w:rsid w:val="007E6B89"/>
    <w:rsid w:val="007E7526"/>
    <w:rsid w:val="007F217B"/>
    <w:rsid w:val="007F39A6"/>
    <w:rsid w:val="007F425B"/>
    <w:rsid w:val="007F4554"/>
    <w:rsid w:val="007F493B"/>
    <w:rsid w:val="007F5FC0"/>
    <w:rsid w:val="007F79BC"/>
    <w:rsid w:val="00806202"/>
    <w:rsid w:val="008068B9"/>
    <w:rsid w:val="00807640"/>
    <w:rsid w:val="008108C2"/>
    <w:rsid w:val="0081107E"/>
    <w:rsid w:val="00811BC4"/>
    <w:rsid w:val="00812F6F"/>
    <w:rsid w:val="00814A1B"/>
    <w:rsid w:val="00817956"/>
    <w:rsid w:val="008205A1"/>
    <w:rsid w:val="008224C7"/>
    <w:rsid w:val="00822761"/>
    <w:rsid w:val="00822F89"/>
    <w:rsid w:val="00823118"/>
    <w:rsid w:val="00823440"/>
    <w:rsid w:val="00823836"/>
    <w:rsid w:val="00824931"/>
    <w:rsid w:val="00825E4A"/>
    <w:rsid w:val="00826F06"/>
    <w:rsid w:val="0082740A"/>
    <w:rsid w:val="00830C44"/>
    <w:rsid w:val="00830E65"/>
    <w:rsid w:val="00832B06"/>
    <w:rsid w:val="00834877"/>
    <w:rsid w:val="00835981"/>
    <w:rsid w:val="00840616"/>
    <w:rsid w:val="0084138D"/>
    <w:rsid w:val="008416B0"/>
    <w:rsid w:val="0084215A"/>
    <w:rsid w:val="0084646A"/>
    <w:rsid w:val="00854216"/>
    <w:rsid w:val="008564A8"/>
    <w:rsid w:val="00856B74"/>
    <w:rsid w:val="00862144"/>
    <w:rsid w:val="0086308E"/>
    <w:rsid w:val="00863CFB"/>
    <w:rsid w:val="00864303"/>
    <w:rsid w:val="00867222"/>
    <w:rsid w:val="008677A6"/>
    <w:rsid w:val="008726A6"/>
    <w:rsid w:val="00874600"/>
    <w:rsid w:val="0087630F"/>
    <w:rsid w:val="00877676"/>
    <w:rsid w:val="00877BC2"/>
    <w:rsid w:val="00880DD4"/>
    <w:rsid w:val="0088293A"/>
    <w:rsid w:val="00885AEB"/>
    <w:rsid w:val="00887367"/>
    <w:rsid w:val="00890220"/>
    <w:rsid w:val="00891227"/>
    <w:rsid w:val="00891E7D"/>
    <w:rsid w:val="008932DF"/>
    <w:rsid w:val="00893D07"/>
    <w:rsid w:val="008947D1"/>
    <w:rsid w:val="008952FA"/>
    <w:rsid w:val="00895BD5"/>
    <w:rsid w:val="008A04DD"/>
    <w:rsid w:val="008A1710"/>
    <w:rsid w:val="008A321D"/>
    <w:rsid w:val="008A60B1"/>
    <w:rsid w:val="008B022B"/>
    <w:rsid w:val="008B120C"/>
    <w:rsid w:val="008C23E8"/>
    <w:rsid w:val="008C783E"/>
    <w:rsid w:val="008D1F54"/>
    <w:rsid w:val="008D298C"/>
    <w:rsid w:val="008D4636"/>
    <w:rsid w:val="008D58A5"/>
    <w:rsid w:val="008D5CCC"/>
    <w:rsid w:val="008D632B"/>
    <w:rsid w:val="008D6348"/>
    <w:rsid w:val="008D6548"/>
    <w:rsid w:val="008D661F"/>
    <w:rsid w:val="008D7DCC"/>
    <w:rsid w:val="008E34AC"/>
    <w:rsid w:val="008E5150"/>
    <w:rsid w:val="008E5460"/>
    <w:rsid w:val="008F0D01"/>
    <w:rsid w:val="008F0E40"/>
    <w:rsid w:val="008F23C5"/>
    <w:rsid w:val="008F2E23"/>
    <w:rsid w:val="008F3BF0"/>
    <w:rsid w:val="008F3C04"/>
    <w:rsid w:val="009019F9"/>
    <w:rsid w:val="009020B3"/>
    <w:rsid w:val="009021CF"/>
    <w:rsid w:val="00902BD6"/>
    <w:rsid w:val="009034F8"/>
    <w:rsid w:val="00904368"/>
    <w:rsid w:val="009073D7"/>
    <w:rsid w:val="00910AAF"/>
    <w:rsid w:val="0091190F"/>
    <w:rsid w:val="009133FB"/>
    <w:rsid w:val="0091357C"/>
    <w:rsid w:val="0091429B"/>
    <w:rsid w:val="00914542"/>
    <w:rsid w:val="00914667"/>
    <w:rsid w:val="009158C9"/>
    <w:rsid w:val="009168E7"/>
    <w:rsid w:val="009213DF"/>
    <w:rsid w:val="00922ADE"/>
    <w:rsid w:val="00922EA4"/>
    <w:rsid w:val="00925218"/>
    <w:rsid w:val="009264D3"/>
    <w:rsid w:val="00926FB2"/>
    <w:rsid w:val="00930CA8"/>
    <w:rsid w:val="0093226A"/>
    <w:rsid w:val="009344DA"/>
    <w:rsid w:val="00935374"/>
    <w:rsid w:val="00935B67"/>
    <w:rsid w:val="0094234B"/>
    <w:rsid w:val="009432E6"/>
    <w:rsid w:val="009437C9"/>
    <w:rsid w:val="009444D9"/>
    <w:rsid w:val="0095009B"/>
    <w:rsid w:val="00950CE8"/>
    <w:rsid w:val="00953653"/>
    <w:rsid w:val="0096081A"/>
    <w:rsid w:val="009608E5"/>
    <w:rsid w:val="00961B8A"/>
    <w:rsid w:val="00963180"/>
    <w:rsid w:val="00963510"/>
    <w:rsid w:val="00963B68"/>
    <w:rsid w:val="00964965"/>
    <w:rsid w:val="009656E3"/>
    <w:rsid w:val="00965DDC"/>
    <w:rsid w:val="00966967"/>
    <w:rsid w:val="00966A20"/>
    <w:rsid w:val="009708D7"/>
    <w:rsid w:val="00972958"/>
    <w:rsid w:val="009736D1"/>
    <w:rsid w:val="0097627C"/>
    <w:rsid w:val="0097671B"/>
    <w:rsid w:val="00976A84"/>
    <w:rsid w:val="0098032A"/>
    <w:rsid w:val="00980C83"/>
    <w:rsid w:val="00982D53"/>
    <w:rsid w:val="00984854"/>
    <w:rsid w:val="00985D65"/>
    <w:rsid w:val="0098737B"/>
    <w:rsid w:val="00991D25"/>
    <w:rsid w:val="00993C00"/>
    <w:rsid w:val="00997BE9"/>
    <w:rsid w:val="009A0F9D"/>
    <w:rsid w:val="009A5BE6"/>
    <w:rsid w:val="009B074D"/>
    <w:rsid w:val="009B09E2"/>
    <w:rsid w:val="009B0F20"/>
    <w:rsid w:val="009B1296"/>
    <w:rsid w:val="009B2AF7"/>
    <w:rsid w:val="009B5832"/>
    <w:rsid w:val="009B64B8"/>
    <w:rsid w:val="009B6767"/>
    <w:rsid w:val="009B68C2"/>
    <w:rsid w:val="009B6BAA"/>
    <w:rsid w:val="009B6BD8"/>
    <w:rsid w:val="009B761C"/>
    <w:rsid w:val="009C079D"/>
    <w:rsid w:val="009C1A55"/>
    <w:rsid w:val="009C27A7"/>
    <w:rsid w:val="009C2EF8"/>
    <w:rsid w:val="009C3092"/>
    <w:rsid w:val="009C6BC4"/>
    <w:rsid w:val="009C7509"/>
    <w:rsid w:val="009C7F93"/>
    <w:rsid w:val="009D2015"/>
    <w:rsid w:val="009D706F"/>
    <w:rsid w:val="009D72B1"/>
    <w:rsid w:val="009D7368"/>
    <w:rsid w:val="009D797D"/>
    <w:rsid w:val="009D79EF"/>
    <w:rsid w:val="009D7DCF"/>
    <w:rsid w:val="009F0E05"/>
    <w:rsid w:val="009F167E"/>
    <w:rsid w:val="009F237A"/>
    <w:rsid w:val="009F33CC"/>
    <w:rsid w:val="009F37E4"/>
    <w:rsid w:val="009F5B05"/>
    <w:rsid w:val="009F6C13"/>
    <w:rsid w:val="009F723D"/>
    <w:rsid w:val="00A0018E"/>
    <w:rsid w:val="00A02886"/>
    <w:rsid w:val="00A0444E"/>
    <w:rsid w:val="00A0588F"/>
    <w:rsid w:val="00A05BD2"/>
    <w:rsid w:val="00A06FA8"/>
    <w:rsid w:val="00A07CC4"/>
    <w:rsid w:val="00A132BB"/>
    <w:rsid w:val="00A1743D"/>
    <w:rsid w:val="00A177E1"/>
    <w:rsid w:val="00A20B72"/>
    <w:rsid w:val="00A216B5"/>
    <w:rsid w:val="00A22635"/>
    <w:rsid w:val="00A239A9"/>
    <w:rsid w:val="00A25596"/>
    <w:rsid w:val="00A270A9"/>
    <w:rsid w:val="00A30EF4"/>
    <w:rsid w:val="00A32FCF"/>
    <w:rsid w:val="00A3369B"/>
    <w:rsid w:val="00A352EF"/>
    <w:rsid w:val="00A354E0"/>
    <w:rsid w:val="00A37583"/>
    <w:rsid w:val="00A4266F"/>
    <w:rsid w:val="00A42D26"/>
    <w:rsid w:val="00A438E2"/>
    <w:rsid w:val="00A53D44"/>
    <w:rsid w:val="00A54527"/>
    <w:rsid w:val="00A55C39"/>
    <w:rsid w:val="00A56E13"/>
    <w:rsid w:val="00A57E62"/>
    <w:rsid w:val="00A60DB9"/>
    <w:rsid w:val="00A636CA"/>
    <w:rsid w:val="00A63E3E"/>
    <w:rsid w:val="00A665BE"/>
    <w:rsid w:val="00A66C8A"/>
    <w:rsid w:val="00A67E9D"/>
    <w:rsid w:val="00A716CD"/>
    <w:rsid w:val="00A759EC"/>
    <w:rsid w:val="00A75C63"/>
    <w:rsid w:val="00A771B4"/>
    <w:rsid w:val="00A777D8"/>
    <w:rsid w:val="00A803DE"/>
    <w:rsid w:val="00A829A9"/>
    <w:rsid w:val="00A82B9B"/>
    <w:rsid w:val="00A8345D"/>
    <w:rsid w:val="00A83946"/>
    <w:rsid w:val="00A85513"/>
    <w:rsid w:val="00A856EC"/>
    <w:rsid w:val="00A86026"/>
    <w:rsid w:val="00A86455"/>
    <w:rsid w:val="00A86966"/>
    <w:rsid w:val="00A91CE3"/>
    <w:rsid w:val="00A9215A"/>
    <w:rsid w:val="00A925EC"/>
    <w:rsid w:val="00A93072"/>
    <w:rsid w:val="00A93319"/>
    <w:rsid w:val="00A93ACD"/>
    <w:rsid w:val="00A94369"/>
    <w:rsid w:val="00A9734D"/>
    <w:rsid w:val="00AA279E"/>
    <w:rsid w:val="00AA533F"/>
    <w:rsid w:val="00AA5C42"/>
    <w:rsid w:val="00AA696E"/>
    <w:rsid w:val="00AA6C01"/>
    <w:rsid w:val="00AB2D18"/>
    <w:rsid w:val="00AB44C5"/>
    <w:rsid w:val="00AB57B1"/>
    <w:rsid w:val="00AB74E0"/>
    <w:rsid w:val="00AC27F1"/>
    <w:rsid w:val="00AC29E3"/>
    <w:rsid w:val="00AC2EF6"/>
    <w:rsid w:val="00AC3B34"/>
    <w:rsid w:val="00AC425E"/>
    <w:rsid w:val="00AC4889"/>
    <w:rsid w:val="00AC6A33"/>
    <w:rsid w:val="00AD0245"/>
    <w:rsid w:val="00AD4DB1"/>
    <w:rsid w:val="00AD5D85"/>
    <w:rsid w:val="00AD7701"/>
    <w:rsid w:val="00AD7DAC"/>
    <w:rsid w:val="00AE155E"/>
    <w:rsid w:val="00AE1C81"/>
    <w:rsid w:val="00AE357B"/>
    <w:rsid w:val="00AE3ADC"/>
    <w:rsid w:val="00AE6122"/>
    <w:rsid w:val="00AF10DC"/>
    <w:rsid w:val="00AF1503"/>
    <w:rsid w:val="00AF163E"/>
    <w:rsid w:val="00AF34B1"/>
    <w:rsid w:val="00AF41E9"/>
    <w:rsid w:val="00AF4D71"/>
    <w:rsid w:val="00AF67C1"/>
    <w:rsid w:val="00B024A7"/>
    <w:rsid w:val="00B07174"/>
    <w:rsid w:val="00B07D1F"/>
    <w:rsid w:val="00B11CE8"/>
    <w:rsid w:val="00B12315"/>
    <w:rsid w:val="00B12E41"/>
    <w:rsid w:val="00B13A44"/>
    <w:rsid w:val="00B143D6"/>
    <w:rsid w:val="00B15878"/>
    <w:rsid w:val="00B15F09"/>
    <w:rsid w:val="00B202CA"/>
    <w:rsid w:val="00B2045E"/>
    <w:rsid w:val="00B2101B"/>
    <w:rsid w:val="00B210FC"/>
    <w:rsid w:val="00B21DB3"/>
    <w:rsid w:val="00B228EA"/>
    <w:rsid w:val="00B2352D"/>
    <w:rsid w:val="00B25858"/>
    <w:rsid w:val="00B25868"/>
    <w:rsid w:val="00B25E7A"/>
    <w:rsid w:val="00B2610D"/>
    <w:rsid w:val="00B261B0"/>
    <w:rsid w:val="00B31103"/>
    <w:rsid w:val="00B3466D"/>
    <w:rsid w:val="00B34BE4"/>
    <w:rsid w:val="00B35450"/>
    <w:rsid w:val="00B36B90"/>
    <w:rsid w:val="00B36BA5"/>
    <w:rsid w:val="00B376CB"/>
    <w:rsid w:val="00B41999"/>
    <w:rsid w:val="00B42033"/>
    <w:rsid w:val="00B45BFC"/>
    <w:rsid w:val="00B45E16"/>
    <w:rsid w:val="00B464E2"/>
    <w:rsid w:val="00B46E37"/>
    <w:rsid w:val="00B47766"/>
    <w:rsid w:val="00B51A65"/>
    <w:rsid w:val="00B55FCA"/>
    <w:rsid w:val="00B561EE"/>
    <w:rsid w:val="00B569B2"/>
    <w:rsid w:val="00B60D20"/>
    <w:rsid w:val="00B631EB"/>
    <w:rsid w:val="00B64709"/>
    <w:rsid w:val="00B64C03"/>
    <w:rsid w:val="00B662C1"/>
    <w:rsid w:val="00B6763A"/>
    <w:rsid w:val="00B70A44"/>
    <w:rsid w:val="00B733B0"/>
    <w:rsid w:val="00B73D16"/>
    <w:rsid w:val="00B77A2C"/>
    <w:rsid w:val="00B80885"/>
    <w:rsid w:val="00B82404"/>
    <w:rsid w:val="00B832BF"/>
    <w:rsid w:val="00B83A8F"/>
    <w:rsid w:val="00B83B6F"/>
    <w:rsid w:val="00B8560F"/>
    <w:rsid w:val="00B86A65"/>
    <w:rsid w:val="00B86EA4"/>
    <w:rsid w:val="00B907A5"/>
    <w:rsid w:val="00B91A7F"/>
    <w:rsid w:val="00B92A5D"/>
    <w:rsid w:val="00B9438C"/>
    <w:rsid w:val="00BA01B6"/>
    <w:rsid w:val="00BA15C0"/>
    <w:rsid w:val="00BA5593"/>
    <w:rsid w:val="00BA6457"/>
    <w:rsid w:val="00BA6932"/>
    <w:rsid w:val="00BB05A9"/>
    <w:rsid w:val="00BB0F75"/>
    <w:rsid w:val="00BB18D9"/>
    <w:rsid w:val="00BB56C1"/>
    <w:rsid w:val="00BB5CEC"/>
    <w:rsid w:val="00BB6688"/>
    <w:rsid w:val="00BB7600"/>
    <w:rsid w:val="00BC136D"/>
    <w:rsid w:val="00BC3ECC"/>
    <w:rsid w:val="00BC5125"/>
    <w:rsid w:val="00BC5B95"/>
    <w:rsid w:val="00BD0AD6"/>
    <w:rsid w:val="00BD2644"/>
    <w:rsid w:val="00BD73DD"/>
    <w:rsid w:val="00BD7479"/>
    <w:rsid w:val="00BD757F"/>
    <w:rsid w:val="00BD799E"/>
    <w:rsid w:val="00BE04B9"/>
    <w:rsid w:val="00BE138C"/>
    <w:rsid w:val="00BE2910"/>
    <w:rsid w:val="00BE459F"/>
    <w:rsid w:val="00BE4CBF"/>
    <w:rsid w:val="00BE6952"/>
    <w:rsid w:val="00BE6B8B"/>
    <w:rsid w:val="00BE79EA"/>
    <w:rsid w:val="00BF075F"/>
    <w:rsid w:val="00BF0C1A"/>
    <w:rsid w:val="00BF20AB"/>
    <w:rsid w:val="00BF2FC2"/>
    <w:rsid w:val="00C00FBA"/>
    <w:rsid w:val="00C014D0"/>
    <w:rsid w:val="00C01EC1"/>
    <w:rsid w:val="00C03C94"/>
    <w:rsid w:val="00C0546F"/>
    <w:rsid w:val="00C05AEF"/>
    <w:rsid w:val="00C05BF7"/>
    <w:rsid w:val="00C05E78"/>
    <w:rsid w:val="00C10332"/>
    <w:rsid w:val="00C11002"/>
    <w:rsid w:val="00C14E87"/>
    <w:rsid w:val="00C15D63"/>
    <w:rsid w:val="00C21190"/>
    <w:rsid w:val="00C21609"/>
    <w:rsid w:val="00C27276"/>
    <w:rsid w:val="00C27799"/>
    <w:rsid w:val="00C302A7"/>
    <w:rsid w:val="00C310D1"/>
    <w:rsid w:val="00C31A4C"/>
    <w:rsid w:val="00C31C56"/>
    <w:rsid w:val="00C37216"/>
    <w:rsid w:val="00C407A9"/>
    <w:rsid w:val="00C40C36"/>
    <w:rsid w:val="00C42BEC"/>
    <w:rsid w:val="00C45A0B"/>
    <w:rsid w:val="00C46111"/>
    <w:rsid w:val="00C537FF"/>
    <w:rsid w:val="00C54191"/>
    <w:rsid w:val="00C54B7D"/>
    <w:rsid w:val="00C57633"/>
    <w:rsid w:val="00C62695"/>
    <w:rsid w:val="00C6580A"/>
    <w:rsid w:val="00C67D89"/>
    <w:rsid w:val="00C73EBF"/>
    <w:rsid w:val="00C7411D"/>
    <w:rsid w:val="00C7413A"/>
    <w:rsid w:val="00C74456"/>
    <w:rsid w:val="00C74E81"/>
    <w:rsid w:val="00C75858"/>
    <w:rsid w:val="00C75B26"/>
    <w:rsid w:val="00C75CA4"/>
    <w:rsid w:val="00C76B9C"/>
    <w:rsid w:val="00C84E85"/>
    <w:rsid w:val="00C871A6"/>
    <w:rsid w:val="00C90766"/>
    <w:rsid w:val="00C92946"/>
    <w:rsid w:val="00C92CB5"/>
    <w:rsid w:val="00C937E7"/>
    <w:rsid w:val="00C93D0C"/>
    <w:rsid w:val="00C9595A"/>
    <w:rsid w:val="00C96C3D"/>
    <w:rsid w:val="00CA0079"/>
    <w:rsid w:val="00CA0D1C"/>
    <w:rsid w:val="00CA3FBD"/>
    <w:rsid w:val="00CA4B5D"/>
    <w:rsid w:val="00CA5711"/>
    <w:rsid w:val="00CA58B4"/>
    <w:rsid w:val="00CA6C1B"/>
    <w:rsid w:val="00CA7ED0"/>
    <w:rsid w:val="00CB18C8"/>
    <w:rsid w:val="00CB209C"/>
    <w:rsid w:val="00CB77D9"/>
    <w:rsid w:val="00CC13FE"/>
    <w:rsid w:val="00CC22B2"/>
    <w:rsid w:val="00CC4F08"/>
    <w:rsid w:val="00CC4F7E"/>
    <w:rsid w:val="00CD19C1"/>
    <w:rsid w:val="00CD2064"/>
    <w:rsid w:val="00CD2CDA"/>
    <w:rsid w:val="00CD368B"/>
    <w:rsid w:val="00CD492E"/>
    <w:rsid w:val="00CD4930"/>
    <w:rsid w:val="00CD4C00"/>
    <w:rsid w:val="00CD4FA2"/>
    <w:rsid w:val="00CD63E1"/>
    <w:rsid w:val="00CE1281"/>
    <w:rsid w:val="00CE458D"/>
    <w:rsid w:val="00CE5119"/>
    <w:rsid w:val="00CE543A"/>
    <w:rsid w:val="00CE62AF"/>
    <w:rsid w:val="00CE66BA"/>
    <w:rsid w:val="00CE68C7"/>
    <w:rsid w:val="00CF05C5"/>
    <w:rsid w:val="00CF16BD"/>
    <w:rsid w:val="00CF4A63"/>
    <w:rsid w:val="00CF4BE7"/>
    <w:rsid w:val="00CF750D"/>
    <w:rsid w:val="00CF7610"/>
    <w:rsid w:val="00CF7A80"/>
    <w:rsid w:val="00D00D27"/>
    <w:rsid w:val="00D03AAB"/>
    <w:rsid w:val="00D04339"/>
    <w:rsid w:val="00D0598A"/>
    <w:rsid w:val="00D10AB4"/>
    <w:rsid w:val="00D10B4B"/>
    <w:rsid w:val="00D11184"/>
    <w:rsid w:val="00D11216"/>
    <w:rsid w:val="00D115A3"/>
    <w:rsid w:val="00D12959"/>
    <w:rsid w:val="00D1393F"/>
    <w:rsid w:val="00D13E9F"/>
    <w:rsid w:val="00D13F81"/>
    <w:rsid w:val="00D13FE0"/>
    <w:rsid w:val="00D1548A"/>
    <w:rsid w:val="00D1590C"/>
    <w:rsid w:val="00D20E40"/>
    <w:rsid w:val="00D22F2C"/>
    <w:rsid w:val="00D318FB"/>
    <w:rsid w:val="00D3214E"/>
    <w:rsid w:val="00D32DCA"/>
    <w:rsid w:val="00D334A6"/>
    <w:rsid w:val="00D349FC"/>
    <w:rsid w:val="00D34A88"/>
    <w:rsid w:val="00D35AF8"/>
    <w:rsid w:val="00D360D1"/>
    <w:rsid w:val="00D36800"/>
    <w:rsid w:val="00D371D8"/>
    <w:rsid w:val="00D4078C"/>
    <w:rsid w:val="00D41140"/>
    <w:rsid w:val="00D4142D"/>
    <w:rsid w:val="00D42F8A"/>
    <w:rsid w:val="00D43178"/>
    <w:rsid w:val="00D434C9"/>
    <w:rsid w:val="00D44ACA"/>
    <w:rsid w:val="00D44F7E"/>
    <w:rsid w:val="00D4506B"/>
    <w:rsid w:val="00D457B1"/>
    <w:rsid w:val="00D466C2"/>
    <w:rsid w:val="00D50306"/>
    <w:rsid w:val="00D5497E"/>
    <w:rsid w:val="00D569AE"/>
    <w:rsid w:val="00D57291"/>
    <w:rsid w:val="00D61CCF"/>
    <w:rsid w:val="00D61D7C"/>
    <w:rsid w:val="00D6303E"/>
    <w:rsid w:val="00D64532"/>
    <w:rsid w:val="00D6739B"/>
    <w:rsid w:val="00D73094"/>
    <w:rsid w:val="00D73EFE"/>
    <w:rsid w:val="00D741C8"/>
    <w:rsid w:val="00D75CE2"/>
    <w:rsid w:val="00D75DF4"/>
    <w:rsid w:val="00D76553"/>
    <w:rsid w:val="00D772EE"/>
    <w:rsid w:val="00D80887"/>
    <w:rsid w:val="00D80CCB"/>
    <w:rsid w:val="00D8132D"/>
    <w:rsid w:val="00D815A0"/>
    <w:rsid w:val="00D84030"/>
    <w:rsid w:val="00D84B8A"/>
    <w:rsid w:val="00D85277"/>
    <w:rsid w:val="00D8567E"/>
    <w:rsid w:val="00D85721"/>
    <w:rsid w:val="00D872EB"/>
    <w:rsid w:val="00D90742"/>
    <w:rsid w:val="00D90BD9"/>
    <w:rsid w:val="00D91B29"/>
    <w:rsid w:val="00D9564A"/>
    <w:rsid w:val="00D9595A"/>
    <w:rsid w:val="00D96515"/>
    <w:rsid w:val="00DA38F6"/>
    <w:rsid w:val="00DA4217"/>
    <w:rsid w:val="00DA4481"/>
    <w:rsid w:val="00DA6773"/>
    <w:rsid w:val="00DA6877"/>
    <w:rsid w:val="00DA741C"/>
    <w:rsid w:val="00DB2CCB"/>
    <w:rsid w:val="00DC2F92"/>
    <w:rsid w:val="00DC524E"/>
    <w:rsid w:val="00DD49D0"/>
    <w:rsid w:val="00DD6727"/>
    <w:rsid w:val="00DD7A06"/>
    <w:rsid w:val="00DE03C1"/>
    <w:rsid w:val="00DE27D0"/>
    <w:rsid w:val="00DE432D"/>
    <w:rsid w:val="00DE6048"/>
    <w:rsid w:val="00DE62DF"/>
    <w:rsid w:val="00DE7F06"/>
    <w:rsid w:val="00DF02AD"/>
    <w:rsid w:val="00DF151E"/>
    <w:rsid w:val="00DF23B2"/>
    <w:rsid w:val="00DF4D43"/>
    <w:rsid w:val="00DF7540"/>
    <w:rsid w:val="00E047B4"/>
    <w:rsid w:val="00E04870"/>
    <w:rsid w:val="00E053E9"/>
    <w:rsid w:val="00E055D1"/>
    <w:rsid w:val="00E060F0"/>
    <w:rsid w:val="00E0690B"/>
    <w:rsid w:val="00E07A63"/>
    <w:rsid w:val="00E10104"/>
    <w:rsid w:val="00E10470"/>
    <w:rsid w:val="00E1201A"/>
    <w:rsid w:val="00E12136"/>
    <w:rsid w:val="00E142AD"/>
    <w:rsid w:val="00E17A2B"/>
    <w:rsid w:val="00E209A8"/>
    <w:rsid w:val="00E2128D"/>
    <w:rsid w:val="00E21B10"/>
    <w:rsid w:val="00E21F21"/>
    <w:rsid w:val="00E23492"/>
    <w:rsid w:val="00E26F31"/>
    <w:rsid w:val="00E27144"/>
    <w:rsid w:val="00E30D47"/>
    <w:rsid w:val="00E3160C"/>
    <w:rsid w:val="00E327F7"/>
    <w:rsid w:val="00E32872"/>
    <w:rsid w:val="00E329AC"/>
    <w:rsid w:val="00E33BBC"/>
    <w:rsid w:val="00E34655"/>
    <w:rsid w:val="00E347E4"/>
    <w:rsid w:val="00E34BC3"/>
    <w:rsid w:val="00E34CCE"/>
    <w:rsid w:val="00E36C4E"/>
    <w:rsid w:val="00E370A9"/>
    <w:rsid w:val="00E4536E"/>
    <w:rsid w:val="00E50258"/>
    <w:rsid w:val="00E50560"/>
    <w:rsid w:val="00E51C6F"/>
    <w:rsid w:val="00E54233"/>
    <w:rsid w:val="00E550F3"/>
    <w:rsid w:val="00E5656B"/>
    <w:rsid w:val="00E56846"/>
    <w:rsid w:val="00E629B8"/>
    <w:rsid w:val="00E64D75"/>
    <w:rsid w:val="00E66F19"/>
    <w:rsid w:val="00E67476"/>
    <w:rsid w:val="00E7353E"/>
    <w:rsid w:val="00E76B5F"/>
    <w:rsid w:val="00E806AE"/>
    <w:rsid w:val="00E8153C"/>
    <w:rsid w:val="00E84E0D"/>
    <w:rsid w:val="00E87B4A"/>
    <w:rsid w:val="00E87CAD"/>
    <w:rsid w:val="00E926D4"/>
    <w:rsid w:val="00E95101"/>
    <w:rsid w:val="00E958EF"/>
    <w:rsid w:val="00EA03EE"/>
    <w:rsid w:val="00EA28C8"/>
    <w:rsid w:val="00EA3ACA"/>
    <w:rsid w:val="00EA6F18"/>
    <w:rsid w:val="00EA7146"/>
    <w:rsid w:val="00EB246C"/>
    <w:rsid w:val="00EB2BA6"/>
    <w:rsid w:val="00EB5014"/>
    <w:rsid w:val="00EB6574"/>
    <w:rsid w:val="00EC22A3"/>
    <w:rsid w:val="00EC2A01"/>
    <w:rsid w:val="00EC6C9A"/>
    <w:rsid w:val="00ED285E"/>
    <w:rsid w:val="00ED3EDB"/>
    <w:rsid w:val="00ED70E3"/>
    <w:rsid w:val="00ED7C77"/>
    <w:rsid w:val="00EE111E"/>
    <w:rsid w:val="00EE33BE"/>
    <w:rsid w:val="00EE3850"/>
    <w:rsid w:val="00EF2515"/>
    <w:rsid w:val="00EF69EF"/>
    <w:rsid w:val="00EF6B74"/>
    <w:rsid w:val="00EF73E8"/>
    <w:rsid w:val="00F02273"/>
    <w:rsid w:val="00F033CB"/>
    <w:rsid w:val="00F05254"/>
    <w:rsid w:val="00F057EC"/>
    <w:rsid w:val="00F068A6"/>
    <w:rsid w:val="00F10E49"/>
    <w:rsid w:val="00F13819"/>
    <w:rsid w:val="00F16B5A"/>
    <w:rsid w:val="00F23406"/>
    <w:rsid w:val="00F23A6E"/>
    <w:rsid w:val="00F24F28"/>
    <w:rsid w:val="00F25319"/>
    <w:rsid w:val="00F265D6"/>
    <w:rsid w:val="00F267EF"/>
    <w:rsid w:val="00F30C38"/>
    <w:rsid w:val="00F30D18"/>
    <w:rsid w:val="00F34F47"/>
    <w:rsid w:val="00F37ED2"/>
    <w:rsid w:val="00F4021D"/>
    <w:rsid w:val="00F40768"/>
    <w:rsid w:val="00F42144"/>
    <w:rsid w:val="00F42251"/>
    <w:rsid w:val="00F42F4C"/>
    <w:rsid w:val="00F436EE"/>
    <w:rsid w:val="00F4388C"/>
    <w:rsid w:val="00F4424B"/>
    <w:rsid w:val="00F448C9"/>
    <w:rsid w:val="00F45247"/>
    <w:rsid w:val="00F47DB9"/>
    <w:rsid w:val="00F50494"/>
    <w:rsid w:val="00F514B8"/>
    <w:rsid w:val="00F56A82"/>
    <w:rsid w:val="00F5790C"/>
    <w:rsid w:val="00F60924"/>
    <w:rsid w:val="00F614EC"/>
    <w:rsid w:val="00F61ACF"/>
    <w:rsid w:val="00F63293"/>
    <w:rsid w:val="00F634A0"/>
    <w:rsid w:val="00F641C4"/>
    <w:rsid w:val="00F64B17"/>
    <w:rsid w:val="00F70F41"/>
    <w:rsid w:val="00F7241F"/>
    <w:rsid w:val="00F73104"/>
    <w:rsid w:val="00F73D32"/>
    <w:rsid w:val="00F80E05"/>
    <w:rsid w:val="00F8395C"/>
    <w:rsid w:val="00F850AE"/>
    <w:rsid w:val="00F854E2"/>
    <w:rsid w:val="00F877D4"/>
    <w:rsid w:val="00F91374"/>
    <w:rsid w:val="00F92160"/>
    <w:rsid w:val="00F92995"/>
    <w:rsid w:val="00F95706"/>
    <w:rsid w:val="00FA103F"/>
    <w:rsid w:val="00FA39AB"/>
    <w:rsid w:val="00FB11EB"/>
    <w:rsid w:val="00FB18A4"/>
    <w:rsid w:val="00FB2540"/>
    <w:rsid w:val="00FB31A9"/>
    <w:rsid w:val="00FB3BF8"/>
    <w:rsid w:val="00FC2FD3"/>
    <w:rsid w:val="00FC4717"/>
    <w:rsid w:val="00FC748B"/>
    <w:rsid w:val="00FC7BF3"/>
    <w:rsid w:val="00FD0DFD"/>
    <w:rsid w:val="00FD1C3F"/>
    <w:rsid w:val="00FD58CE"/>
    <w:rsid w:val="00FD7E3A"/>
    <w:rsid w:val="00FE080B"/>
    <w:rsid w:val="00FE25D8"/>
    <w:rsid w:val="00FE426F"/>
    <w:rsid w:val="00FE4D6E"/>
    <w:rsid w:val="00FE6D3F"/>
    <w:rsid w:val="00FE6E2F"/>
    <w:rsid w:val="00FE6F16"/>
    <w:rsid w:val="00FE7BEE"/>
    <w:rsid w:val="00FF145D"/>
    <w:rsid w:val="00FF1695"/>
    <w:rsid w:val="00FF2842"/>
    <w:rsid w:val="00FF2CBD"/>
    <w:rsid w:val="00FF2E65"/>
    <w:rsid w:val="00FF3B4D"/>
    <w:rsid w:val="00FF6074"/>
    <w:rsid w:val="00FF6639"/>
    <w:rsid w:val="00FF6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1788E4B9-A16A-4A6E-A412-DFD2E5F3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9B"/>
    <w:pPr>
      <w:ind w:left="720"/>
      <w:jc w:val="left"/>
    </w:pPr>
    <w:rPr>
      <w:rFonts w:ascii="Times New Roman" w:eastAsia="Calibri" w:hAnsi="Times New Roman" w:cs="Times New Roman"/>
      <w:sz w:val="24"/>
      <w:szCs w:val="24"/>
      <w:lang w:val="en-AU"/>
    </w:rPr>
  </w:style>
  <w:style w:type="paragraph" w:styleId="Header">
    <w:name w:val="header"/>
    <w:basedOn w:val="Normal"/>
    <w:link w:val="HeaderChar"/>
    <w:uiPriority w:val="99"/>
    <w:unhideWhenUsed/>
    <w:rsid w:val="00EA3ACA"/>
    <w:pPr>
      <w:tabs>
        <w:tab w:val="center" w:pos="4513"/>
        <w:tab w:val="right" w:pos="9026"/>
      </w:tabs>
    </w:pPr>
  </w:style>
  <w:style w:type="character" w:customStyle="1" w:styleId="HeaderChar">
    <w:name w:val="Header Char"/>
    <w:basedOn w:val="DefaultParagraphFont"/>
    <w:link w:val="Header"/>
    <w:uiPriority w:val="99"/>
    <w:rsid w:val="00EA3ACA"/>
    <w:rPr>
      <w:lang w:val="en-GB"/>
    </w:rPr>
  </w:style>
  <w:style w:type="paragraph" w:styleId="Footer">
    <w:name w:val="footer"/>
    <w:basedOn w:val="Normal"/>
    <w:link w:val="FooterChar"/>
    <w:uiPriority w:val="99"/>
    <w:unhideWhenUsed/>
    <w:rsid w:val="00EA3ACA"/>
    <w:pPr>
      <w:tabs>
        <w:tab w:val="center" w:pos="4513"/>
        <w:tab w:val="right" w:pos="9026"/>
      </w:tabs>
    </w:pPr>
  </w:style>
  <w:style w:type="character" w:customStyle="1" w:styleId="FooterChar">
    <w:name w:val="Footer Char"/>
    <w:basedOn w:val="DefaultParagraphFont"/>
    <w:link w:val="Footer"/>
    <w:uiPriority w:val="99"/>
    <w:rsid w:val="00EA3ACA"/>
    <w:rPr>
      <w:lang w:val="en-GB"/>
    </w:rPr>
  </w:style>
  <w:style w:type="paragraph" w:styleId="FootnoteText">
    <w:name w:val="footnote text"/>
    <w:basedOn w:val="Normal"/>
    <w:link w:val="FootnoteTextChar"/>
    <w:uiPriority w:val="99"/>
    <w:semiHidden/>
    <w:unhideWhenUsed/>
    <w:rsid w:val="00963180"/>
    <w:rPr>
      <w:sz w:val="20"/>
      <w:szCs w:val="20"/>
    </w:rPr>
  </w:style>
  <w:style w:type="character" w:customStyle="1" w:styleId="FootnoteTextChar">
    <w:name w:val="Footnote Text Char"/>
    <w:basedOn w:val="DefaultParagraphFont"/>
    <w:link w:val="FootnoteText"/>
    <w:uiPriority w:val="99"/>
    <w:semiHidden/>
    <w:rsid w:val="00963180"/>
    <w:rPr>
      <w:sz w:val="20"/>
      <w:szCs w:val="20"/>
      <w:lang w:val="en-GB"/>
    </w:rPr>
  </w:style>
  <w:style w:type="character" w:styleId="FootnoteReference">
    <w:name w:val="footnote reference"/>
    <w:basedOn w:val="DefaultParagraphFont"/>
    <w:uiPriority w:val="99"/>
    <w:semiHidden/>
    <w:unhideWhenUsed/>
    <w:rsid w:val="00963180"/>
    <w:rPr>
      <w:vertAlign w:val="superscript"/>
    </w:rPr>
  </w:style>
  <w:style w:type="table" w:styleId="TableGrid">
    <w:name w:val="Table Grid"/>
    <w:basedOn w:val="TableNormal"/>
    <w:uiPriority w:val="39"/>
    <w:rsid w:val="00963180"/>
    <w:pPr>
      <w:jc w:val="left"/>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180"/>
    <w:rPr>
      <w:color w:val="0563C1" w:themeColor="hyperlink"/>
      <w:u w:val="single"/>
    </w:rPr>
  </w:style>
  <w:style w:type="paragraph" w:customStyle="1" w:styleId="Default">
    <w:name w:val="Default"/>
    <w:rsid w:val="0026698A"/>
    <w:pPr>
      <w:autoSpaceDE w:val="0"/>
      <w:autoSpaceDN w:val="0"/>
      <w:adjustRightInd w:val="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9C7F93"/>
    <w:rPr>
      <w:sz w:val="16"/>
      <w:szCs w:val="16"/>
    </w:rPr>
  </w:style>
  <w:style w:type="paragraph" w:styleId="CommentText">
    <w:name w:val="annotation text"/>
    <w:basedOn w:val="Normal"/>
    <w:link w:val="CommentTextChar"/>
    <w:uiPriority w:val="99"/>
    <w:semiHidden/>
    <w:unhideWhenUsed/>
    <w:rsid w:val="009C7F93"/>
    <w:rPr>
      <w:sz w:val="20"/>
      <w:szCs w:val="20"/>
    </w:rPr>
  </w:style>
  <w:style w:type="character" w:customStyle="1" w:styleId="CommentTextChar">
    <w:name w:val="Comment Text Char"/>
    <w:basedOn w:val="DefaultParagraphFont"/>
    <w:link w:val="CommentText"/>
    <w:uiPriority w:val="99"/>
    <w:semiHidden/>
    <w:rsid w:val="009C7F93"/>
    <w:rPr>
      <w:sz w:val="20"/>
      <w:szCs w:val="20"/>
      <w:lang w:val="en-GB"/>
    </w:rPr>
  </w:style>
  <w:style w:type="paragraph" w:styleId="CommentSubject">
    <w:name w:val="annotation subject"/>
    <w:basedOn w:val="CommentText"/>
    <w:next w:val="CommentText"/>
    <w:link w:val="CommentSubjectChar"/>
    <w:uiPriority w:val="99"/>
    <w:semiHidden/>
    <w:unhideWhenUsed/>
    <w:rsid w:val="009C7F93"/>
    <w:rPr>
      <w:b/>
      <w:bCs/>
    </w:rPr>
  </w:style>
  <w:style w:type="character" w:customStyle="1" w:styleId="CommentSubjectChar">
    <w:name w:val="Comment Subject Char"/>
    <w:basedOn w:val="CommentTextChar"/>
    <w:link w:val="CommentSubject"/>
    <w:uiPriority w:val="99"/>
    <w:semiHidden/>
    <w:rsid w:val="009C7F93"/>
    <w:rPr>
      <w:b/>
      <w:bCs/>
      <w:sz w:val="20"/>
      <w:szCs w:val="20"/>
      <w:lang w:val="en-GB"/>
    </w:rPr>
  </w:style>
  <w:style w:type="paragraph" w:styleId="BalloonText">
    <w:name w:val="Balloon Text"/>
    <w:basedOn w:val="Normal"/>
    <w:link w:val="BalloonTextChar"/>
    <w:uiPriority w:val="99"/>
    <w:semiHidden/>
    <w:unhideWhenUsed/>
    <w:rsid w:val="009C7F93"/>
    <w:rPr>
      <w:rFonts w:ascii="Tahoma" w:hAnsi="Tahoma" w:cs="Tahoma"/>
      <w:sz w:val="16"/>
      <w:szCs w:val="16"/>
    </w:rPr>
  </w:style>
  <w:style w:type="character" w:customStyle="1" w:styleId="BalloonTextChar">
    <w:name w:val="Balloon Text Char"/>
    <w:basedOn w:val="DefaultParagraphFont"/>
    <w:link w:val="BalloonText"/>
    <w:uiPriority w:val="99"/>
    <w:semiHidden/>
    <w:rsid w:val="009C7F93"/>
    <w:rPr>
      <w:rFonts w:ascii="Tahoma" w:hAnsi="Tahoma" w:cs="Tahoma"/>
      <w:sz w:val="16"/>
      <w:szCs w:val="16"/>
      <w:lang w:val="en-GB"/>
    </w:rPr>
  </w:style>
  <w:style w:type="paragraph" w:styleId="NormalWeb">
    <w:name w:val="Normal (Web)"/>
    <w:basedOn w:val="Normal"/>
    <w:uiPriority w:val="99"/>
    <w:semiHidden/>
    <w:unhideWhenUsed/>
    <w:rsid w:val="00DA741C"/>
    <w:pPr>
      <w:spacing w:before="100" w:beforeAutospacing="1" w:after="100" w:afterAutospacing="1"/>
      <w:jc w:val="left"/>
    </w:pPr>
    <w:rPr>
      <w:rFonts w:ascii="Times New Roman" w:eastAsiaTheme="minorEastAsia" w:hAnsi="Times New Roman" w:cs="Times New Roman"/>
      <w:sz w:val="24"/>
      <w:szCs w:val="24"/>
      <w:lang w:val="en-AU" w:eastAsia="en-AU"/>
    </w:rPr>
  </w:style>
  <w:style w:type="character" w:customStyle="1" w:styleId="CommentTextChar1">
    <w:name w:val="Comment Text Char1"/>
    <w:uiPriority w:val="99"/>
    <w:semiHidden/>
    <w:locked/>
    <w:rsid w:val="007D2047"/>
    <w:rPr>
      <w:rFonts w:ascii="Cambria" w:eastAsia="MS ??" w:hAnsi="Cambria" w:cs="Cambria"/>
      <w:sz w:val="24"/>
      <w:szCs w:val="24"/>
      <w:lang w:val="en-US" w:eastAsia="en-US"/>
    </w:rPr>
  </w:style>
  <w:style w:type="character" w:styleId="PageNumber">
    <w:name w:val="page number"/>
    <w:basedOn w:val="DefaultParagraphFont"/>
    <w:uiPriority w:val="99"/>
    <w:rsid w:val="00807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50818">
      <w:bodyDiv w:val="1"/>
      <w:marLeft w:val="0"/>
      <w:marRight w:val="0"/>
      <w:marTop w:val="0"/>
      <w:marBottom w:val="0"/>
      <w:divBdr>
        <w:top w:val="none" w:sz="0" w:space="0" w:color="auto"/>
        <w:left w:val="none" w:sz="0" w:space="0" w:color="auto"/>
        <w:bottom w:val="none" w:sz="0" w:space="0" w:color="auto"/>
        <w:right w:val="none" w:sz="0" w:space="0" w:color="auto"/>
      </w:divBdr>
    </w:div>
    <w:div w:id="886338414">
      <w:bodyDiv w:val="1"/>
      <w:marLeft w:val="0"/>
      <w:marRight w:val="0"/>
      <w:marTop w:val="0"/>
      <w:marBottom w:val="0"/>
      <w:divBdr>
        <w:top w:val="none" w:sz="0" w:space="0" w:color="auto"/>
        <w:left w:val="none" w:sz="0" w:space="0" w:color="auto"/>
        <w:bottom w:val="none" w:sz="0" w:space="0" w:color="auto"/>
        <w:right w:val="none" w:sz="0" w:space="0" w:color="auto"/>
      </w:divBdr>
    </w:div>
    <w:div w:id="2058579774">
      <w:bodyDiv w:val="1"/>
      <w:marLeft w:val="0"/>
      <w:marRight w:val="0"/>
      <w:marTop w:val="0"/>
      <w:marBottom w:val="0"/>
      <w:divBdr>
        <w:top w:val="none" w:sz="0" w:space="0" w:color="auto"/>
        <w:left w:val="none" w:sz="0" w:space="0" w:color="auto"/>
        <w:bottom w:val="none" w:sz="0" w:space="0" w:color="auto"/>
        <w:right w:val="none" w:sz="0" w:space="0" w:color="auto"/>
      </w:divBdr>
    </w:div>
    <w:div w:id="20764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dc.wa.gov.au/economic-activity/demographics/" TargetMode="External"/><Relationship Id="rId2" Type="http://schemas.openxmlformats.org/officeDocument/2006/relationships/hyperlink" Target="http://wacountry.health.wa.gov.au/fileadmin/sections/publications/Kimberley_Profile_Sep_2015_FINAL.pdf" TargetMode="External"/><Relationship Id="rId1" Type="http://schemas.openxmlformats.org/officeDocument/2006/relationships/hyperlink" Target="http://resources.kamsc.org.au/krahp.html" TargetMode="External"/><Relationship Id="rId5" Type="http://schemas.openxmlformats.org/officeDocument/2006/relationships/hyperlink" Target="http://kdc.wa.gov.au/economic-activity/cost-of-living/" TargetMode="External"/><Relationship Id="rId4" Type="http://schemas.openxmlformats.org/officeDocument/2006/relationships/hyperlink" Target="http://www.health.gov.au/internet/main/publishing.nsf/Content/76B2BDC12AE54540CA257F72001102B9/%24File/Primary-Health-Care-Advisory-Group_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3615-958B-4FBE-BA80-0873EDFA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Lewis</dc:creator>
  <cp:lastModifiedBy>Jan Lewis</cp:lastModifiedBy>
  <cp:revision>2</cp:revision>
  <dcterms:created xsi:type="dcterms:W3CDTF">2016-07-19T04:13:00Z</dcterms:created>
  <dcterms:modified xsi:type="dcterms:W3CDTF">2016-07-19T04:13:00Z</dcterms:modified>
</cp:coreProperties>
</file>